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360"/>
        <w:ind w:hanging="0" w:left="0" w:right="0"/>
        <w:jc w:val="center"/>
        <w:rPr>
          <w:rFonts w:ascii="Arial" w:hAnsi="Arial"/>
          <w:sz w:val="24"/>
          <w:szCs w:val="24"/>
        </w:rPr>
      </w:pPr>
      <w:r>
        <w:rPr>
          <w:rFonts w:cs="Arial" w:ascii="Arial" w:hAnsi="Arial"/>
          <w:b/>
          <w:bCs/>
          <w:color w:val="000000"/>
          <w:sz w:val="24"/>
          <w:szCs w:val="24"/>
          <w:u w:val="single"/>
        </w:rPr>
        <w:t>TERMO DE REFERÊNCIA – LEI 14.133/21  de 01 de abril de 2021</w:t>
      </w:r>
    </w:p>
    <w:p>
      <w:pPr>
        <w:pStyle w:val="Normal"/>
        <w:spacing w:lineRule="auto" w:line="240"/>
        <w:jc w:val="center"/>
        <w:rPr>
          <w:rFonts w:ascii="Arial" w:hAnsi="Arial" w:cs="Arial"/>
          <w:b/>
          <w:sz w:val="24"/>
          <w:szCs w:val="24"/>
          <w:u w:val="single"/>
        </w:rPr>
      </w:pPr>
      <w:r>
        <w:rPr>
          <w:rFonts w:cs="Arial" w:ascii="Arial" w:hAnsi="Arial"/>
          <w:b/>
          <w:sz w:val="24"/>
          <w:szCs w:val="24"/>
          <w:u w:val="single"/>
        </w:rPr>
      </w:r>
    </w:p>
    <w:p>
      <w:pPr>
        <w:pStyle w:val="Normal"/>
        <w:spacing w:lineRule="auto" w:line="360"/>
        <w:jc w:val="center"/>
        <w:rPr>
          <w:rFonts w:ascii="Arial" w:hAnsi="Arial"/>
          <w:sz w:val="24"/>
          <w:szCs w:val="24"/>
        </w:rPr>
      </w:pPr>
      <w:r>
        <w:rPr>
          <w:rFonts w:ascii="Arial" w:hAnsi="Arial"/>
          <w:b/>
          <w:bCs/>
          <w:iCs/>
          <w:color w:val="000000"/>
          <w:sz w:val="24"/>
          <w:szCs w:val="24"/>
        </w:rPr>
        <w:t>AQUISIÇÃO DE</w:t>
      </w:r>
      <w:r>
        <w:rPr>
          <w:rFonts w:ascii="Arial" w:hAnsi="Arial"/>
          <w:b/>
          <w:bCs/>
          <w:iCs/>
          <w:color w:val="000000"/>
          <w:sz w:val="24"/>
          <w:szCs w:val="24"/>
          <w:u w:val="none"/>
        </w:rPr>
        <w:t xml:space="preserve"> </w:t>
      </w:r>
      <w:r>
        <w:rPr>
          <w:rFonts w:ascii="Arial" w:hAnsi="Arial"/>
          <w:b/>
          <w:bCs/>
          <w:iCs/>
          <w:color w:val="000000"/>
          <w:sz w:val="24"/>
          <w:szCs w:val="24"/>
          <w:u w:val="none"/>
        </w:rPr>
        <w:t>PNEUS PARA OS VEÍCULOS DO DEPARTAMENTO DE LIMPEZA PÚBLICA</w:t>
      </w:r>
    </w:p>
    <w:p>
      <w:pPr>
        <w:pStyle w:val="Normal"/>
        <w:spacing w:lineRule="auto" w:line="240"/>
        <w:jc w:val="center"/>
        <w:rPr>
          <w:rFonts w:ascii="Arial" w:hAnsi="Arial" w:cs="Arial"/>
          <w:b/>
          <w:sz w:val="24"/>
          <w:szCs w:val="24"/>
          <w:u w:val="single"/>
        </w:rPr>
      </w:pPr>
      <w:r>
        <w:rPr>
          <w:rFonts w:cs="Arial" w:ascii="Arial" w:hAnsi="Arial"/>
          <w:b/>
          <w:sz w:val="24"/>
          <w:szCs w:val="24"/>
          <w:u w:val="single"/>
        </w:rPr>
      </w:r>
    </w:p>
    <w:p>
      <w:pPr>
        <w:pStyle w:val="Normal"/>
        <w:spacing w:lineRule="auto" w:line="240"/>
        <w:jc w:val="center"/>
        <w:rPr/>
      </w:pPr>
      <w:r>
        <w:rPr>
          <w:rFonts w:cs="Arial" w:ascii="Arial" w:hAnsi="Arial"/>
          <w:b/>
          <w:bCs/>
          <w:iCs/>
          <w:color w:val="000000"/>
          <w:sz w:val="24"/>
          <w:szCs w:val="24"/>
        </w:rPr>
        <w:t xml:space="preserve">Processo Administrativo nº </w:t>
      </w:r>
      <w:r>
        <w:rPr>
          <w:rFonts w:eastAsia="Times New Roman" w:cs="Times New Roman" w:ascii="Arial" w:hAnsi="Arial"/>
          <w:b/>
          <w:bCs/>
          <w:iCs/>
          <w:color w:val="000000"/>
          <w:sz w:val="24"/>
          <w:szCs w:val="24"/>
        </w:rPr>
        <w:t>00</w:t>
      </w:r>
      <w:r>
        <w:rPr>
          <w:rFonts w:eastAsia="Times New Roman" w:cs="Times New Roman" w:ascii="Arial" w:hAnsi="Arial"/>
          <w:b/>
          <w:bCs/>
          <w:iCs/>
          <w:color w:val="000000"/>
          <w:sz w:val="24"/>
          <w:szCs w:val="24"/>
        </w:rPr>
        <w:t>1317</w:t>
      </w:r>
      <w:r>
        <w:rPr>
          <w:rFonts w:eastAsia="Times New Roman" w:cs="Times New Roman" w:ascii="Arial" w:hAnsi="Arial"/>
          <w:b/>
          <w:bCs/>
          <w:iCs/>
          <w:color w:val="000000"/>
          <w:sz w:val="24"/>
          <w:szCs w:val="24"/>
        </w:rPr>
        <w:t>/</w:t>
      </w:r>
      <w:r>
        <w:rPr>
          <w:rFonts w:cs="Arial" w:ascii="Arial" w:hAnsi="Arial"/>
          <w:b/>
          <w:bCs/>
          <w:iCs/>
          <w:color w:val="000000"/>
          <w:sz w:val="24"/>
          <w:szCs w:val="24"/>
        </w:rPr>
        <w:t>202</w:t>
      </w:r>
      <w:r>
        <w:rPr>
          <w:rFonts w:cs="Arial" w:ascii="Arial" w:hAnsi="Arial"/>
          <w:b/>
          <w:bCs/>
          <w:iCs/>
          <w:color w:val="000000"/>
          <w:sz w:val="24"/>
          <w:szCs w:val="24"/>
        </w:rPr>
        <w:t>5</w:t>
      </w:r>
      <w:r>
        <w:rPr>
          <w:rFonts w:cs="Arial" w:ascii="Arial" w:hAnsi="Arial"/>
          <w:b/>
          <w:bCs/>
          <w:iCs/>
          <w:color w:val="000000"/>
          <w:sz w:val="24"/>
          <w:szCs w:val="24"/>
        </w:rPr>
        <w:t xml:space="preserve"> de 1</w:t>
      </w:r>
      <w:r>
        <w:rPr>
          <w:rFonts w:cs="Arial" w:ascii="Arial" w:hAnsi="Arial"/>
          <w:b/>
          <w:bCs/>
          <w:iCs/>
          <w:color w:val="000000"/>
          <w:sz w:val="24"/>
          <w:szCs w:val="24"/>
        </w:rPr>
        <w:t>9</w:t>
      </w:r>
      <w:r>
        <w:rPr>
          <w:rFonts w:cs="Arial" w:ascii="Arial" w:hAnsi="Arial"/>
          <w:b/>
          <w:bCs/>
          <w:iCs/>
          <w:color w:val="000000"/>
          <w:sz w:val="24"/>
          <w:szCs w:val="24"/>
        </w:rPr>
        <w:t xml:space="preserve"> de </w:t>
      </w:r>
      <w:r>
        <w:rPr>
          <w:rFonts w:eastAsia="Times New Roman" w:cs="Arial" w:ascii="Arial" w:hAnsi="Arial"/>
          <w:b/>
          <w:bCs/>
          <w:iCs/>
          <w:color w:val="000000"/>
          <w:sz w:val="24"/>
          <w:szCs w:val="24"/>
        </w:rPr>
        <w:t>fevereiro</w:t>
      </w:r>
      <w:r>
        <w:rPr>
          <w:rFonts w:cs="Arial" w:ascii="Arial" w:hAnsi="Arial"/>
          <w:b/>
          <w:bCs/>
          <w:iCs/>
          <w:color w:val="000000"/>
          <w:sz w:val="24"/>
          <w:szCs w:val="24"/>
        </w:rPr>
        <w:t xml:space="preserve"> de 202</w:t>
      </w:r>
      <w:r>
        <w:rPr>
          <w:rFonts w:cs="Arial" w:ascii="Arial" w:hAnsi="Arial"/>
          <w:b/>
          <w:bCs/>
          <w:iCs/>
          <w:color w:val="000000"/>
          <w:sz w:val="24"/>
          <w:szCs w:val="24"/>
        </w:rPr>
        <w:t>5</w:t>
      </w:r>
      <w:r>
        <w:rPr>
          <w:rFonts w:cs="Arial" w:ascii="Arial" w:hAnsi="Arial"/>
          <w:b/>
          <w:bCs/>
          <w:iCs/>
          <w:color w:val="000000"/>
          <w:sz w:val="24"/>
          <w:szCs w:val="24"/>
        </w:rPr>
        <w:t xml:space="preserve"> (</w:t>
      </w:r>
      <w:r>
        <w:rPr>
          <w:rFonts w:eastAsia="Times New Roman" w:cs="Arial" w:ascii="Arial" w:hAnsi="Arial"/>
          <w:b/>
          <w:bCs/>
          <w:iCs/>
          <w:color w:val="000000"/>
          <w:sz w:val="24"/>
          <w:szCs w:val="24"/>
        </w:rPr>
        <w:t xml:space="preserve">Secretaria Municipal De </w:t>
      </w:r>
      <w:r>
        <w:rPr>
          <w:rFonts w:eastAsia="Times New Roman" w:cs="Arial" w:ascii="Arial" w:hAnsi="Arial"/>
          <w:b/>
          <w:bCs/>
          <w:iCs/>
          <w:color w:val="000000"/>
          <w:kern w:val="0"/>
          <w:sz w:val="24"/>
          <w:szCs w:val="24"/>
          <w:lang w:val="pt-BR" w:eastAsia="pt-BR" w:bidi="ar-SA"/>
        </w:rPr>
        <w:t>Serviços Urbanos E Transporte</w:t>
      </w:r>
      <w:r>
        <w:rPr>
          <w:rFonts w:cs="Arial" w:ascii="Arial" w:hAnsi="Arial"/>
          <w:b/>
          <w:bCs/>
          <w:iCs/>
          <w:color w:val="000000"/>
          <w:sz w:val="24"/>
          <w:szCs w:val="24"/>
        </w:rPr>
        <w:t>)</w:t>
      </w:r>
    </w:p>
    <w:p>
      <w:pPr>
        <w:pStyle w:val="Normal"/>
        <w:spacing w:lineRule="auto" w:line="240"/>
        <w:rPr>
          <w:rFonts w:ascii="Arial" w:hAnsi="Arial" w:cs="Arial"/>
          <w:b/>
          <w:sz w:val="24"/>
          <w:szCs w:val="24"/>
          <w:u w:val="single"/>
        </w:rPr>
      </w:pPr>
      <w:r>
        <w:rPr>
          <w:rFonts w:cs="Arial" w:ascii="Arial" w:hAnsi="Arial"/>
          <w:b/>
          <w:sz w:val="24"/>
          <w:szCs w:val="24"/>
          <w:u w:val="single"/>
        </w:rPr>
      </w:r>
    </w:p>
    <w:p>
      <w:pPr>
        <w:pStyle w:val="Normal"/>
        <w:spacing w:lineRule="auto" w:line="240"/>
        <w:rPr>
          <w:rFonts w:ascii="Arial" w:hAnsi="Arial" w:cs="Arial"/>
          <w:b/>
          <w:sz w:val="24"/>
          <w:szCs w:val="24"/>
          <w:u w:val="single"/>
        </w:rPr>
      </w:pPr>
      <w:r>
        <w:rPr>
          <w:rFonts w:cs="Arial" w:ascii="Arial" w:hAnsi="Arial"/>
          <w:b/>
          <w:sz w:val="24"/>
          <w:szCs w:val="24"/>
          <w:u w:val="single"/>
        </w:rPr>
      </w:r>
    </w:p>
    <w:p>
      <w:pPr>
        <w:pStyle w:val="Nivel1"/>
        <w:numPr>
          <w:ilvl w:val="0"/>
          <w:numId w:val="0"/>
        </w:numPr>
        <w:spacing w:lineRule="auto" w:line="360" w:before="0" w:after="0"/>
        <w:ind w:hanging="0" w:left="0" w:right="0"/>
        <w:rPr>
          <w:rFonts w:ascii="Arial" w:hAnsi="Arial"/>
          <w:sz w:val="24"/>
          <w:szCs w:val="24"/>
        </w:rPr>
      </w:pPr>
      <w:r>
        <w:rPr>
          <w:rFonts w:cs="Times New Roman"/>
          <w:bCs/>
          <w:sz w:val="24"/>
          <w:szCs w:val="24"/>
        </w:rPr>
        <w:t xml:space="preserve">1. DAS CONDIÇÕES GERAIS DA CONTRATAÇÃO </w:t>
      </w:r>
    </w:p>
    <w:p>
      <w:pPr>
        <w:pStyle w:val="ListParagraph"/>
        <w:tabs>
          <w:tab w:val="clear" w:pos="708"/>
          <w:tab w:val="left" w:pos="0" w:leader="none"/>
        </w:tabs>
        <w:suppressAutoHyphens w:val="false"/>
        <w:spacing w:lineRule="auto" w:line="360"/>
        <w:ind w:hanging="0" w:left="0" w:right="0"/>
        <w:jc w:val="both"/>
        <w:rPr>
          <w:rFonts w:ascii="Arial" w:hAnsi="Arial"/>
          <w:sz w:val="24"/>
          <w:szCs w:val="24"/>
        </w:rPr>
      </w:pPr>
      <w:r>
        <w:rPr>
          <w:rFonts w:ascii="Arial" w:hAnsi="Arial"/>
          <w:iCs/>
          <w:sz w:val="24"/>
          <w:szCs w:val="24"/>
        </w:rPr>
        <w:t xml:space="preserve">1.1. Aquisição por meio de </w:t>
      </w:r>
      <w:r>
        <w:rPr>
          <w:rFonts w:eastAsia="Times New Roman" w:cs="Times New Roman" w:ascii="Arial" w:hAnsi="Arial"/>
          <w:b w:val="false"/>
          <w:bCs w:val="false"/>
          <w:iCs/>
          <w:sz w:val="24"/>
          <w:szCs w:val="24"/>
          <w:lang w:eastAsia="pt-BR"/>
        </w:rPr>
        <w:t xml:space="preserve">licitação </w:t>
      </w:r>
      <w:r>
        <w:rPr>
          <w:rFonts w:eastAsia="Times New Roman" w:cs="Times New Roman" w:ascii="Arial" w:hAnsi="Arial"/>
          <w:b w:val="false"/>
          <w:bCs w:val="false"/>
          <w:iCs/>
          <w:color w:val="auto"/>
          <w:kern w:val="0"/>
          <w:sz w:val="24"/>
          <w:szCs w:val="24"/>
          <w:lang w:val="pt-BR" w:eastAsia="pt-BR" w:bidi="ar-SA"/>
        </w:rPr>
        <w:t xml:space="preserve">de </w:t>
      </w:r>
      <w:r>
        <w:rPr>
          <w:rFonts w:eastAsia="SimSun" w:cs="Times New Roman" w:ascii="Arial" w:hAnsi="Arial"/>
          <w:b w:val="false"/>
          <w:bCs w:val="false"/>
          <w:i w:val="false"/>
          <w:iCs/>
          <w:caps w:val="false"/>
          <w:smallCaps w:val="false"/>
          <w:color w:val="000000"/>
          <w:spacing w:val="0"/>
          <w:kern w:val="0"/>
          <w:sz w:val="24"/>
          <w:szCs w:val="24"/>
          <w:u w:val="none"/>
          <w:shd w:fill="auto" w:val="clear"/>
          <w:lang w:val="pt-BR" w:eastAsia="pt-BR" w:bidi="ar-SA"/>
        </w:rPr>
        <w:t>pneus para  os veículos do Departamento de Limpeza Pública  da Secretaria Municipal de Serviços Urbanos e Transportes deste Município.</w:t>
      </w:r>
      <w:r>
        <w:rPr>
          <w:rFonts w:eastAsia="Times New Roman" w:cs="Times New Roman" w:ascii="Arial" w:hAnsi="Arial"/>
          <w:b w:val="false"/>
          <w:bCs w:val="false"/>
          <w:iCs/>
          <w:color w:val="000000"/>
          <w:sz w:val="24"/>
          <w:szCs w:val="24"/>
          <w:u w:val="none"/>
        </w:rPr>
        <w:t xml:space="preserve">, </w:t>
      </w:r>
      <w:r>
        <w:rPr>
          <w:rFonts w:ascii="Arial" w:hAnsi="Arial"/>
          <w:iCs/>
          <w:sz w:val="24"/>
          <w:szCs w:val="24"/>
        </w:rPr>
        <w:t>nos termos da tabela abaixo, conforme condições e exigências estabelecidas neste instrumento e no ET.</w:t>
      </w:r>
    </w:p>
    <w:p>
      <w:pPr>
        <w:pStyle w:val="ListParagraph"/>
        <w:tabs>
          <w:tab w:val="clear" w:pos="708"/>
          <w:tab w:val="left" w:pos="0" w:leader="none"/>
        </w:tabs>
        <w:suppressAutoHyphens w:val="false"/>
        <w:spacing w:lineRule="auto" w:line="240"/>
        <w:ind w:hanging="0" w:left="0" w:right="0"/>
        <w:jc w:val="both"/>
        <w:rPr/>
      </w:pPr>
      <w:r>
        <w:rPr/>
      </w:r>
    </w:p>
    <w:tbl>
      <w:tblPr>
        <w:tblW w:w="9700" w:type="dxa"/>
        <w:jc w:val="left"/>
        <w:tblInd w:w="-68" w:type="dxa"/>
        <w:tblLayout w:type="fixed"/>
        <w:tblCellMar>
          <w:top w:w="0" w:type="dxa"/>
          <w:left w:w="70" w:type="dxa"/>
          <w:bottom w:w="0" w:type="dxa"/>
          <w:right w:w="70" w:type="dxa"/>
        </w:tblCellMar>
        <w:tblLook w:val="04a0"/>
      </w:tblPr>
      <w:tblGrid>
        <w:gridCol w:w="705"/>
        <w:gridCol w:w="3824"/>
        <w:gridCol w:w="735"/>
        <w:gridCol w:w="1159"/>
        <w:gridCol w:w="1577"/>
        <w:gridCol w:w="1700"/>
      </w:tblGrid>
      <w:tr>
        <w:trPr>
          <w:trHeight w:val="269" w:hRule="atLeast"/>
        </w:trPr>
        <w:tc>
          <w:tcPr>
            <w:tcW w:w="7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0" w:after="0"/>
              <w:jc w:val="both"/>
              <w:rPr>
                <w:rFonts w:ascii="Arial" w:hAnsi="Arial"/>
                <w:i w:val="false"/>
                <w:i w:val="false"/>
                <w:iCs w:val="false"/>
                <w:sz w:val="22"/>
                <w:szCs w:val="22"/>
              </w:rPr>
            </w:pPr>
            <w:r>
              <w:rPr>
                <w:rFonts w:cs="Arial" w:ascii="Arial" w:hAnsi="Arial"/>
                <w:b/>
                <w:bCs/>
                <w:i w:val="false"/>
                <w:iCs w:val="false"/>
                <w:color w:val="000000"/>
                <w:sz w:val="22"/>
                <w:szCs w:val="22"/>
              </w:rPr>
              <w:t>ITEM</w:t>
            </w:r>
          </w:p>
        </w:tc>
        <w:tc>
          <w:tcPr>
            <w:tcW w:w="382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cs="Arial" w:ascii="Arial" w:hAnsi="Arial"/>
                <w:b/>
                <w:bCs/>
                <w:i w:val="false"/>
                <w:iCs w:val="false"/>
                <w:color w:val="000000"/>
                <w:sz w:val="22"/>
                <w:szCs w:val="22"/>
              </w:rPr>
              <w:t>DESCRIÇÃO</w:t>
            </w:r>
          </w:p>
        </w:tc>
        <w:tc>
          <w:tcPr>
            <w:tcW w:w="735"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76" w:before="0" w:after="0"/>
              <w:jc w:val="both"/>
              <w:rPr>
                <w:rFonts w:ascii="Arial" w:hAnsi="Arial"/>
                <w:i w:val="false"/>
                <w:i w:val="false"/>
                <w:iCs w:val="false"/>
                <w:sz w:val="22"/>
                <w:szCs w:val="22"/>
              </w:rPr>
            </w:pPr>
            <w:r>
              <w:rPr>
                <w:rFonts w:cs="Arial" w:ascii="Arial" w:hAnsi="Arial"/>
                <w:b/>
                <w:bCs/>
                <w:i w:val="false"/>
                <w:iCs w:val="false"/>
                <w:color w:val="000000"/>
                <w:sz w:val="22"/>
                <w:szCs w:val="22"/>
              </w:rPr>
              <w:t>UND.</w:t>
            </w:r>
          </w:p>
          <w:p>
            <w:pPr>
              <w:pStyle w:val="Normal"/>
              <w:widowControl w:val="false"/>
              <w:spacing w:lineRule="auto" w:line="276" w:before="0" w:after="0"/>
              <w:jc w:val="both"/>
              <w:rPr>
                <w:rFonts w:ascii="Arial" w:hAnsi="Arial" w:cs="Arial"/>
                <w:b/>
                <w:bCs/>
                <w:i w:val="false"/>
                <w:i w:val="false"/>
                <w:iCs w:val="false"/>
                <w:sz w:val="22"/>
                <w:szCs w:val="22"/>
              </w:rPr>
            </w:pPr>
            <w:r>
              <w:rPr>
                <w:rFonts w:cs="Arial" w:ascii="Arial" w:hAnsi="Arial"/>
                <w:b/>
                <w:bCs/>
                <w:i w:val="false"/>
                <w:iCs w:val="false"/>
                <w:sz w:val="22"/>
                <w:szCs w:val="22"/>
              </w:rPr>
            </w:r>
          </w:p>
        </w:tc>
        <w:tc>
          <w:tcPr>
            <w:tcW w:w="1159"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76" w:before="0" w:after="0"/>
              <w:jc w:val="both"/>
              <w:rPr>
                <w:rFonts w:ascii="Arial" w:hAnsi="Arial"/>
                <w:i w:val="false"/>
                <w:i w:val="false"/>
                <w:iCs w:val="false"/>
                <w:sz w:val="22"/>
                <w:szCs w:val="22"/>
              </w:rPr>
            </w:pPr>
            <w:r>
              <w:rPr>
                <w:rFonts w:eastAsia="Times New Roman" w:cs="Times New Roman" w:ascii="Arial" w:hAnsi="Arial"/>
                <w:b/>
                <w:bCs/>
                <w:i w:val="false"/>
                <w:iCs w:val="false"/>
                <w:color w:val="000000"/>
                <w:kern w:val="0"/>
                <w:sz w:val="22"/>
                <w:szCs w:val="22"/>
                <w:lang w:val="pt-BR" w:eastAsia="pt-BR" w:bidi="ar-SA"/>
              </w:rPr>
              <w:t>QUANT.</w:t>
            </w:r>
          </w:p>
        </w:tc>
        <w:tc>
          <w:tcPr>
            <w:tcW w:w="1577"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before="0" w:after="0"/>
              <w:jc w:val="both"/>
              <w:rPr>
                <w:rFonts w:ascii="Arial" w:hAnsi="Arial"/>
                <w:sz w:val="22"/>
                <w:szCs w:val="22"/>
              </w:rPr>
            </w:pPr>
            <w:r>
              <w:rPr>
                <w:rFonts w:ascii="Arial" w:hAnsi="Arial"/>
                <w:b/>
                <w:bCs/>
                <w:color w:val="000000"/>
                <w:sz w:val="22"/>
                <w:szCs w:val="22"/>
              </w:rPr>
              <w:t>VALOR ESTIMADO UNITÁRIO</w:t>
            </w:r>
          </w:p>
        </w:tc>
        <w:tc>
          <w:tcPr>
            <w:tcW w:w="17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sz w:val="22"/>
                <w:szCs w:val="22"/>
              </w:rPr>
            </w:pPr>
            <w:r>
              <w:rPr>
                <w:rFonts w:ascii="Arial" w:hAnsi="Arial"/>
                <w:b/>
                <w:bCs/>
                <w:color w:val="000000"/>
                <w:sz w:val="22"/>
                <w:szCs w:val="22"/>
              </w:rPr>
              <w:t>VALOR ESTIMADO TOTAL</w:t>
            </w:r>
          </w:p>
        </w:tc>
      </w:tr>
      <w:tr>
        <w:trPr>
          <w:trHeight w:val="283" w:hRule="atLeast"/>
        </w:trPr>
        <w:tc>
          <w:tcPr>
            <w:tcW w:w="70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01</w:t>
            </w:r>
          </w:p>
        </w:tc>
        <w:tc>
          <w:tcPr>
            <w:tcW w:w="3824"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275/80 R 22,5 BORRACHUDO especificações mínimas:</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275/80 r22,5, borrachudo pneu</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275/80 r22,5, novo, borrachudo, radial, índice de carga/velocidade</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149/146l ou superior, com certificação compulsória inmetro</w:t>
            </w:r>
          </w:p>
        </w:tc>
        <w:tc>
          <w:tcPr>
            <w:tcW w:w="735" w:type="dxa"/>
            <w:tcBorders>
              <w:left w:val="single" w:sz="4" w:space="0" w:color="000000"/>
              <w:bottom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und</w:t>
            </w:r>
          </w:p>
        </w:tc>
        <w:tc>
          <w:tcPr>
            <w:tcW w:w="1159" w:type="dxa"/>
            <w:tcBorders>
              <w:left w:val="single" w:sz="4" w:space="0" w:color="000000"/>
              <w:bottom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32</w:t>
            </w:r>
          </w:p>
        </w:tc>
        <w:tc>
          <w:tcPr>
            <w:tcW w:w="1577" w:type="dxa"/>
            <w:tcBorders>
              <w:left w:val="single" w:sz="4" w:space="0" w:color="000000"/>
              <w:bottom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R$ 1.857,92</w:t>
            </w:r>
          </w:p>
        </w:tc>
        <w:tc>
          <w:tcPr>
            <w:tcW w:w="17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R$ 59.453,44</w:t>
            </w:r>
          </w:p>
        </w:tc>
      </w:tr>
      <w:tr>
        <w:trPr>
          <w:trHeight w:val="283" w:hRule="atLeast"/>
        </w:trPr>
        <w:tc>
          <w:tcPr>
            <w:tcW w:w="70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cs="Arial" w:ascii="Arial" w:hAnsi="Arial"/>
                <w:i w:val="false"/>
                <w:iCs w:val="false"/>
                <w:sz w:val="22"/>
                <w:szCs w:val="22"/>
              </w:rPr>
              <w:t>02</w:t>
            </w:r>
          </w:p>
        </w:tc>
        <w:tc>
          <w:tcPr>
            <w:tcW w:w="3824"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DIANTEIRO 12.5/80 - 18   -  10 LONAS</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 produto novo, original de fábrica,</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(sem uso), não remoldado, recauchutado, reformado, ecológico</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ou similar, devendo atender as normas da abnt, com capacidade</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de carga máxima superior a de 2.180kg, com 10 lonas, sem câmara (tube less), com certificado do inmetro, e com garantia mínina de fabricação contra falhas do projeto,</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matéria prima ou mão-de-obra de 05 anos da data de fabricação.</w:t>
            </w:r>
          </w:p>
        </w:tc>
        <w:tc>
          <w:tcPr>
            <w:tcW w:w="735"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cs="Arial" w:ascii="Arial" w:hAnsi="Arial"/>
                <w:i w:val="false"/>
                <w:iCs w:val="false"/>
                <w:sz w:val="22"/>
                <w:szCs w:val="22"/>
              </w:rPr>
              <w:t>und</w:t>
            </w:r>
          </w:p>
        </w:tc>
        <w:tc>
          <w:tcPr>
            <w:tcW w:w="1159"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ascii="Arial" w:hAnsi="Arial"/>
                <w:i w:val="false"/>
                <w:iCs w:val="false"/>
                <w:sz w:val="22"/>
                <w:szCs w:val="22"/>
              </w:rPr>
              <w:t>04</w:t>
            </w:r>
          </w:p>
        </w:tc>
        <w:tc>
          <w:tcPr>
            <w:tcW w:w="1577" w:type="dxa"/>
            <w:tcBorders>
              <w:left w:val="single" w:sz="4" w:space="0" w:color="000000"/>
              <w:bottom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R$ 1.886,38</w:t>
            </w:r>
          </w:p>
        </w:tc>
        <w:tc>
          <w:tcPr>
            <w:tcW w:w="17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R$ 7.545,52</w:t>
            </w:r>
          </w:p>
        </w:tc>
      </w:tr>
      <w:tr>
        <w:trPr>
          <w:trHeight w:val="283" w:hRule="atLeast"/>
        </w:trPr>
        <w:tc>
          <w:tcPr>
            <w:tcW w:w="70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03</w:t>
            </w:r>
          </w:p>
        </w:tc>
        <w:tc>
          <w:tcPr>
            <w:tcW w:w="3824"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19.5-24 COM 495 MM DE LARGURA DA SEÇÃO SM</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carga, índice de carga e velocidade igual ou superior a 10, diâmetro externo medindo 1,339mm, com aros permitidos em 16 polegadas de largura, com circunferência de rolamento de 3.914mm e carga mínima de 3.00 kg, novo, com certificado do inmetro, com garantia de fabricação contra falhas no projeto, matéria-prima ou mão de obra de 05 anos da data de fabricação. (traseiro)</w:t>
            </w:r>
          </w:p>
        </w:tc>
        <w:tc>
          <w:tcPr>
            <w:tcW w:w="735"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ascii="Arial" w:hAnsi="Arial"/>
                <w:i w:val="false"/>
                <w:iCs w:val="false"/>
                <w:sz w:val="22"/>
                <w:szCs w:val="22"/>
              </w:rPr>
              <w:t>und</w:t>
            </w:r>
          </w:p>
        </w:tc>
        <w:tc>
          <w:tcPr>
            <w:tcW w:w="1159" w:type="dxa"/>
            <w:tcBorders>
              <w:left w:val="single" w:sz="4" w:space="0" w:color="000000"/>
              <w:bottom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04</w:t>
            </w:r>
          </w:p>
        </w:tc>
        <w:tc>
          <w:tcPr>
            <w:tcW w:w="1577" w:type="dxa"/>
            <w:tcBorders>
              <w:left w:val="single" w:sz="4" w:space="0" w:color="000000"/>
              <w:bottom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R$ 2.731,33</w:t>
            </w:r>
          </w:p>
        </w:tc>
        <w:tc>
          <w:tcPr>
            <w:tcW w:w="17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R$ 10.925,32</w:t>
            </w:r>
          </w:p>
        </w:tc>
      </w:tr>
      <w:tr>
        <w:trPr>
          <w:trHeight w:val="283" w:hRule="atLeast"/>
        </w:trPr>
        <w:tc>
          <w:tcPr>
            <w:tcW w:w="70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04</w:t>
            </w:r>
          </w:p>
        </w:tc>
        <w:tc>
          <w:tcPr>
            <w:tcW w:w="3824"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175/70 R 14:</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especificações mínimas:</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175/70 r14. produto novo, não</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recondicionado para veículos automotivos, com no máximo 1 ano</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de fabricação da data do fornecimento, garantia mínima de 5</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anos, material banda rodagem, borracha de alta resistência, tipo</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radial, aro 14, índice de velocidade “t”, selo de inspeção do inmetro</w:t>
            </w:r>
          </w:p>
        </w:tc>
        <w:tc>
          <w:tcPr>
            <w:tcW w:w="735"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ascii="Arial" w:hAnsi="Arial"/>
                <w:i w:val="false"/>
                <w:iCs w:val="false"/>
                <w:sz w:val="22"/>
                <w:szCs w:val="22"/>
              </w:rPr>
              <w:t>und</w:t>
            </w:r>
          </w:p>
        </w:tc>
        <w:tc>
          <w:tcPr>
            <w:tcW w:w="1159" w:type="dxa"/>
            <w:tcBorders>
              <w:left w:val="single" w:sz="4" w:space="0" w:color="000000"/>
              <w:bottom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08</w:t>
            </w:r>
          </w:p>
        </w:tc>
        <w:tc>
          <w:tcPr>
            <w:tcW w:w="1577" w:type="dxa"/>
            <w:tcBorders>
              <w:left w:val="single" w:sz="4" w:space="0" w:color="000000"/>
              <w:bottom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R$ 299,99</w:t>
            </w:r>
          </w:p>
        </w:tc>
        <w:tc>
          <w:tcPr>
            <w:tcW w:w="17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R$ 2.399,92</w:t>
            </w:r>
          </w:p>
        </w:tc>
      </w:tr>
      <w:tr>
        <w:trPr>
          <w:trHeight w:val="283" w:hRule="atLeast"/>
        </w:trPr>
        <w:tc>
          <w:tcPr>
            <w:tcW w:w="70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ascii="Arial" w:hAnsi="Arial"/>
                <w:i w:val="false"/>
                <w:iCs w:val="false"/>
                <w:sz w:val="22"/>
                <w:szCs w:val="22"/>
              </w:rPr>
              <w:t>05</w:t>
            </w:r>
          </w:p>
        </w:tc>
        <w:tc>
          <w:tcPr>
            <w:tcW w:w="3824"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110/90 R 17</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especificações mínimas:</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110/90 r17. produto novo, não</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recondicionado para motocicleta, com no máximo 1 ano de fabricação da data do fornecimento, garantia</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Mínima de 5 anos,  material arame de aço, material banda rodagem, borracha de alta resistência, material de borracha de alta flexibilidade, medida 110/90 17,  selo de inspeção do inmetro</w:t>
            </w:r>
          </w:p>
        </w:tc>
        <w:tc>
          <w:tcPr>
            <w:tcW w:w="735"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ascii="Arial" w:hAnsi="Arial"/>
                <w:i w:val="false"/>
                <w:iCs w:val="false"/>
                <w:sz w:val="22"/>
                <w:szCs w:val="22"/>
              </w:rPr>
              <w:t>und</w:t>
            </w:r>
          </w:p>
        </w:tc>
        <w:tc>
          <w:tcPr>
            <w:tcW w:w="1159"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jc w:val="center"/>
              <w:rPr>
                <w:rFonts w:ascii="Arial" w:hAnsi="Arial"/>
                <w:i w:val="false"/>
                <w:i w:val="false"/>
                <w:iCs w:val="false"/>
                <w:sz w:val="22"/>
                <w:szCs w:val="22"/>
              </w:rPr>
            </w:pPr>
            <w:r>
              <w:rPr>
                <w:rFonts w:ascii="Arial" w:hAnsi="Arial"/>
                <w:i w:val="false"/>
                <w:iCs w:val="false"/>
                <w:sz w:val="22"/>
                <w:szCs w:val="22"/>
              </w:rPr>
              <w:t>02</w:t>
            </w:r>
          </w:p>
        </w:tc>
        <w:tc>
          <w:tcPr>
            <w:tcW w:w="1577" w:type="dxa"/>
            <w:tcBorders>
              <w:left w:val="single" w:sz="4" w:space="0" w:color="000000"/>
              <w:bottom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R$ 239,50</w:t>
            </w:r>
          </w:p>
        </w:tc>
        <w:tc>
          <w:tcPr>
            <w:tcW w:w="17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R$ 479,00</w:t>
            </w:r>
          </w:p>
        </w:tc>
      </w:tr>
      <w:tr>
        <w:trPr>
          <w:trHeight w:val="283" w:hRule="atLeast"/>
        </w:trPr>
        <w:tc>
          <w:tcPr>
            <w:tcW w:w="70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06</w:t>
            </w:r>
          </w:p>
        </w:tc>
        <w:tc>
          <w:tcPr>
            <w:tcW w:w="3824" w:type="dxa"/>
            <w:tcBorders>
              <w:left w:val="single" w:sz="4" w:space="0" w:color="000000"/>
              <w:bottom w:val="single" w:sz="4" w:space="0" w:color="000000"/>
              <w:right w:val="single" w:sz="4" w:space="0" w:color="000000"/>
            </w:tcBorders>
            <w:shd w:color="auto" w:fill="auto" w:val="clear"/>
            <w:vAlign w:val="center"/>
          </w:tcPr>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PNEU 90/90 R19</w:t>
            </w:r>
          </w:p>
          <w:p>
            <w:pPr>
              <w:pStyle w:val="ListParagraph"/>
              <w:widowControl w:val="false"/>
              <w:suppressAutoHyphens w:val="true"/>
              <w:bidi w:val="0"/>
              <w:spacing w:lineRule="auto" w:line="276" w:before="0" w:after="0"/>
              <w:ind w:hanging="0" w:left="0" w:right="0"/>
              <w:contextualSpacing/>
              <w:jc w:val="both"/>
              <w:rPr>
                <w:rFonts w:ascii="Arial" w:hAnsi="Arial"/>
                <w:i w:val="false"/>
                <w:i w:val="false"/>
                <w:iCs w:val="false"/>
                <w:sz w:val="22"/>
                <w:szCs w:val="22"/>
              </w:rPr>
            </w:pPr>
            <w:r>
              <w:rPr>
                <w:rFonts w:cs="Arial" w:ascii="Arial" w:hAnsi="Arial"/>
                <w:b w:val="false"/>
                <w:bCs w:val="false"/>
                <w:i w:val="false"/>
                <w:iCs w:val="false"/>
                <w:sz w:val="22"/>
                <w:szCs w:val="22"/>
              </w:rPr>
              <w:t>produto novo, não recondicionado para motocicleta, com no máximo 1 ano de fabricação da data do fornecimento, garantia mínima de 5 anos, material arame de aço, material banda rodagem, borracha de alta resistência, material de borracha de alta flexibilidade, medida 90/90 19, sem câmara, selo de inspeção do inmetro.</w:t>
            </w:r>
          </w:p>
        </w:tc>
        <w:tc>
          <w:tcPr>
            <w:tcW w:w="735" w:type="dxa"/>
            <w:tcBorders>
              <w:left w:val="single" w:sz="4" w:space="0" w:color="000000"/>
              <w:bottom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und</w:t>
            </w:r>
          </w:p>
        </w:tc>
        <w:tc>
          <w:tcPr>
            <w:tcW w:w="1159" w:type="dxa"/>
            <w:tcBorders>
              <w:left w:val="single" w:sz="4" w:space="0" w:color="000000"/>
              <w:bottom w:val="single" w:sz="4" w:space="0" w:color="000000"/>
            </w:tcBorders>
            <w:shd w:color="auto" w:fill="auto" w:val="clear"/>
            <w:vAlign w:val="center"/>
          </w:tcPr>
          <w:p>
            <w:pPr>
              <w:pStyle w:val="Normal"/>
              <w:widowControl w:val="false"/>
              <w:spacing w:lineRule="auto" w:line="276" w:before="0" w:after="0"/>
              <w:jc w:val="center"/>
              <w:rPr>
                <w:rFonts w:ascii="Arial" w:hAnsi="Arial"/>
                <w:i w:val="false"/>
                <w:i w:val="false"/>
                <w:iCs w:val="false"/>
                <w:sz w:val="22"/>
                <w:szCs w:val="22"/>
              </w:rPr>
            </w:pPr>
            <w:r>
              <w:rPr>
                <w:rFonts w:ascii="Arial" w:hAnsi="Arial"/>
                <w:i w:val="false"/>
                <w:iCs w:val="false"/>
                <w:sz w:val="22"/>
                <w:szCs w:val="22"/>
              </w:rPr>
              <w:t>02</w:t>
            </w:r>
          </w:p>
        </w:tc>
        <w:tc>
          <w:tcPr>
            <w:tcW w:w="1577" w:type="dxa"/>
            <w:tcBorders>
              <w:left w:val="single" w:sz="4" w:space="0" w:color="000000"/>
              <w:bottom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R$ 189,33</w:t>
            </w:r>
          </w:p>
        </w:tc>
        <w:tc>
          <w:tcPr>
            <w:tcW w:w="17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rFonts w:ascii="Arial" w:hAnsi="Arial"/>
                <w:i w:val="false"/>
                <w:iCs w:val="false"/>
                <w:color w:val="000000"/>
                <w:sz w:val="24"/>
                <w:szCs w:val="24"/>
              </w:rPr>
              <w:t>R$ 378,66</w:t>
            </w:r>
          </w:p>
        </w:tc>
      </w:tr>
      <w:tr>
        <w:trPr>
          <w:trHeight w:val="283" w:hRule="atLeast"/>
        </w:trPr>
        <w:tc>
          <w:tcPr>
            <w:tcW w:w="9700" w:type="dxa"/>
            <w:gridSpan w:val="6"/>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Arial" w:hAnsi="Arial"/>
                <w:i w:val="false"/>
                <w:i w:val="false"/>
                <w:iCs w:val="false"/>
                <w:color w:val="000000"/>
                <w:sz w:val="24"/>
                <w:szCs w:val="24"/>
              </w:rPr>
            </w:pPr>
            <w:r>
              <w:rPr>
                <w:b w:val="false"/>
                <w:bCs w:val="false"/>
              </w:rPr>
            </w:r>
          </w:p>
          <w:p>
            <w:pPr>
              <w:pStyle w:val="Normal"/>
              <w:widowControl w:val="false"/>
              <w:spacing w:lineRule="auto" w:line="240" w:before="0" w:after="0"/>
              <w:jc w:val="both"/>
              <w:rPr>
                <w:b w:val="false"/>
                <w:bCs w:val="false"/>
              </w:rPr>
            </w:pPr>
            <w:r>
              <w:rPr>
                <w:rFonts w:ascii="Arial" w:hAnsi="Arial"/>
                <w:b w:val="false"/>
                <w:bCs w:val="false"/>
                <w:i w:val="false"/>
                <w:iCs w:val="false"/>
                <w:color w:val="000000"/>
                <w:sz w:val="24"/>
                <w:szCs w:val="24"/>
              </w:rPr>
              <w:t xml:space="preserve">Valor Estimado Total: R$ </w:t>
            </w:r>
            <w:r>
              <w:rPr>
                <w:rFonts w:ascii="Arial" w:hAnsi="Arial"/>
                <w:b w:val="false"/>
                <w:bCs w:val="false"/>
                <w:i w:val="false"/>
                <w:iCs w:val="false"/>
                <w:color w:val="000000"/>
                <w:sz w:val="24"/>
                <w:szCs w:val="24"/>
              </w:rPr>
              <w:t>81.181,86 (oitenta e um mil cento e oitenta e um reais e oitenta e seis centavos)</w:t>
            </w:r>
          </w:p>
          <w:p>
            <w:pPr>
              <w:pStyle w:val="Normal"/>
              <w:widowControl w:val="false"/>
              <w:spacing w:lineRule="auto" w:line="240" w:before="0" w:after="0"/>
              <w:jc w:val="both"/>
              <w:rPr>
                <w:rFonts w:ascii="Arial" w:hAnsi="Arial"/>
                <w:i w:val="false"/>
                <w:i w:val="false"/>
                <w:iCs w:val="false"/>
                <w:color w:val="000000"/>
                <w:sz w:val="24"/>
                <w:szCs w:val="24"/>
              </w:rPr>
            </w:pPr>
            <w:r>
              <w:rPr>
                <w:b w:val="false"/>
                <w:bCs w:val="false"/>
              </w:rPr>
            </w:r>
          </w:p>
        </w:tc>
      </w:tr>
    </w:tbl>
    <w:p>
      <w:pPr>
        <w:pStyle w:val="ListParagraph"/>
        <w:suppressAutoHyphens w:val="false"/>
        <w:spacing w:lineRule="auto" w:line="360"/>
        <w:ind w:hanging="0" w:left="0" w:right="0"/>
        <w:jc w:val="both"/>
        <w:rPr>
          <w:rFonts w:ascii="Arial" w:hAnsi="Arial"/>
          <w:sz w:val="24"/>
          <w:szCs w:val="24"/>
        </w:rPr>
      </w:pPr>
      <w:r>
        <w:rPr>
          <w:rFonts w:ascii="Arial" w:hAnsi="Arial"/>
          <w:sz w:val="24"/>
          <w:szCs w:val="24"/>
        </w:rPr>
      </w:r>
    </w:p>
    <w:p>
      <w:pPr>
        <w:pStyle w:val="ListParagraph"/>
        <w:suppressAutoHyphens w:val="false"/>
        <w:spacing w:lineRule="auto" w:line="360"/>
        <w:ind w:hanging="0" w:left="0" w:right="0"/>
        <w:jc w:val="both"/>
        <w:rPr>
          <w:rFonts w:ascii="Arial" w:hAnsi="Arial"/>
          <w:sz w:val="24"/>
          <w:szCs w:val="24"/>
        </w:rPr>
      </w:pPr>
      <w:r>
        <w:rPr>
          <w:rFonts w:ascii="Arial" w:hAnsi="Arial"/>
          <w:b w:val="false"/>
          <w:bCs w:val="false"/>
          <w:iCs/>
          <w:sz w:val="24"/>
          <w:szCs w:val="24"/>
        </w:rPr>
        <w:t>1.2</w:t>
      </w:r>
      <w:r>
        <w:rPr>
          <w:rFonts w:ascii="Arial" w:hAnsi="Arial"/>
          <w:b/>
          <w:bCs/>
          <w:iCs/>
          <w:sz w:val="24"/>
          <w:szCs w:val="24"/>
        </w:rPr>
        <w:t>.</w:t>
      </w:r>
      <w:r>
        <w:rPr>
          <w:rFonts w:ascii="Arial" w:hAnsi="Arial"/>
          <w:iCs/>
          <w:sz w:val="24"/>
          <w:szCs w:val="24"/>
        </w:rPr>
        <w:t xml:space="preserve"> O objeto desta contratação não se enquadra como sendo de bens de luxo, conforme Decreto nº 10.818, de 2021.</w:t>
      </w:r>
    </w:p>
    <w:p>
      <w:pPr>
        <w:pStyle w:val="ListParagraph"/>
        <w:suppressAutoHyphens w:val="false"/>
        <w:spacing w:lineRule="auto" w:line="360"/>
        <w:ind w:hanging="0" w:left="-22" w:right="0"/>
        <w:jc w:val="both"/>
        <w:rPr>
          <w:rFonts w:ascii="Arial" w:hAnsi="Arial"/>
          <w:sz w:val="24"/>
          <w:szCs w:val="24"/>
        </w:rPr>
      </w:pPr>
      <w:r>
        <w:rPr>
          <w:rFonts w:ascii="Arial" w:hAnsi="Arial"/>
          <w:b w:val="false"/>
          <w:bCs w:val="false"/>
          <w:iCs/>
          <w:sz w:val="24"/>
          <w:szCs w:val="24"/>
        </w:rPr>
        <w:t>1.3</w:t>
      </w:r>
      <w:r>
        <w:rPr>
          <w:rFonts w:ascii="Arial" w:hAnsi="Arial"/>
          <w:iCs/>
          <w:sz w:val="24"/>
          <w:szCs w:val="24"/>
        </w:rPr>
        <w:t xml:space="preserve">. </w:t>
      </w:r>
      <w:r>
        <w:rPr>
          <w:rFonts w:ascii="Arial" w:hAnsi="Arial"/>
          <w:sz w:val="24"/>
          <w:szCs w:val="24"/>
        </w:rPr>
        <w:t xml:space="preserve">O prazo de vigência da contratação será de </w:t>
      </w:r>
      <w:r>
        <w:rPr>
          <w:rFonts w:ascii="Arial" w:hAnsi="Arial"/>
          <w:sz w:val="24"/>
          <w:szCs w:val="24"/>
        </w:rPr>
        <w:t>30</w:t>
      </w:r>
      <w:r>
        <w:rPr>
          <w:rFonts w:eastAsia="Times New Roman" w:cs="Times New Roman" w:ascii="Arial" w:hAnsi="Arial"/>
          <w:color w:val="000000"/>
          <w:sz w:val="24"/>
          <w:szCs w:val="24"/>
        </w:rPr>
        <w:t xml:space="preserve"> (</w:t>
      </w:r>
      <w:r>
        <w:rPr>
          <w:rFonts w:eastAsia="Times New Roman" w:cs="Times New Roman" w:ascii="Arial" w:hAnsi="Arial"/>
          <w:color w:val="000000"/>
          <w:sz w:val="24"/>
          <w:szCs w:val="24"/>
        </w:rPr>
        <w:t>trinta</w:t>
      </w:r>
      <w:r>
        <w:rPr>
          <w:rFonts w:eastAsia="Times New Roman" w:cs="Times New Roman" w:ascii="Arial" w:hAnsi="Arial"/>
          <w:color w:val="000000"/>
          <w:sz w:val="24"/>
          <w:szCs w:val="24"/>
        </w:rPr>
        <w:t>) dias</w:t>
      </w:r>
      <w:r>
        <w:rPr>
          <w:rFonts w:eastAsia="Times New Roman" w:cs="Times New Roman" w:ascii="Arial" w:hAnsi="Arial"/>
          <w:sz w:val="24"/>
          <w:szCs w:val="24"/>
        </w:rPr>
        <w:t xml:space="preserve">, </w:t>
      </w:r>
      <w:r>
        <w:rPr>
          <w:rFonts w:eastAsia="Times New Roman" w:cs="Times New Roman" w:ascii="Arial" w:hAnsi="Arial"/>
          <w:color w:val="000000"/>
          <w:sz w:val="24"/>
          <w:szCs w:val="24"/>
        </w:rPr>
        <w:t xml:space="preserve">com entrega única </w:t>
      </w:r>
      <w:r>
        <w:rPr>
          <w:rFonts w:eastAsia="Times New Roman" w:cs="Times New Roman" w:ascii="Arial" w:hAnsi="Arial"/>
          <w:color w:val="000000"/>
          <w:sz w:val="24"/>
          <w:szCs w:val="24"/>
        </w:rPr>
        <w:t xml:space="preserve">em  até 15 (quinze) dias </w:t>
      </w:r>
      <w:r>
        <w:rPr>
          <w:rFonts w:eastAsia="Times New Roman" w:cs="Times New Roman" w:ascii="Arial" w:hAnsi="Arial"/>
          <w:color w:val="000000"/>
          <w:sz w:val="24"/>
          <w:szCs w:val="24"/>
        </w:rPr>
        <w:t xml:space="preserve">contados do(a) emissão de autorização de fornecimento/execução </w:t>
      </w:r>
      <w:r>
        <w:rPr>
          <w:rFonts w:eastAsia="Times New Roman" w:cs="Times New Roman" w:ascii="Arial" w:hAnsi="Arial"/>
          <w:color w:val="000000"/>
          <w:sz w:val="24"/>
          <w:szCs w:val="24"/>
        </w:rPr>
        <w:t>(conforme descrito no DFD).</w:t>
      </w:r>
    </w:p>
    <w:p>
      <w:pPr>
        <w:pStyle w:val="ListParagraph"/>
        <w:suppressAutoHyphens w:val="false"/>
        <w:spacing w:lineRule="auto" w:line="360"/>
        <w:ind w:hanging="0" w:left="-22" w:right="0"/>
        <w:jc w:val="both"/>
        <w:rPr>
          <w:rFonts w:ascii="Arial" w:hAnsi="Arial"/>
          <w:sz w:val="24"/>
          <w:szCs w:val="24"/>
        </w:rPr>
      </w:pPr>
      <w:r>
        <w:rPr>
          <w:rFonts w:ascii="Arial" w:hAnsi="Arial"/>
          <w:iCs/>
          <w:sz w:val="24"/>
          <w:szCs w:val="24"/>
        </w:rPr>
        <w:t>1.4. O custo estimado total da contratação é de</w:t>
      </w:r>
      <w:r>
        <w:rPr>
          <w:rFonts w:eastAsia="Times New Roman" w:cs="Times New Roman" w:ascii="Arial" w:hAnsi="Arial"/>
          <w:i w:val="false"/>
          <w:iCs w:val="false"/>
          <w:color w:val="000000"/>
          <w:sz w:val="24"/>
          <w:szCs w:val="24"/>
          <w:lang w:eastAsia="en-US"/>
        </w:rPr>
        <w:t xml:space="preserve"> </w:t>
      </w:r>
      <w:r>
        <w:rPr>
          <w:rFonts w:eastAsia="Times New Roman" w:cs="Times New Roman" w:ascii="Arial" w:hAnsi="Arial"/>
          <w:b w:val="false"/>
          <w:bCs w:val="false"/>
          <w:i w:val="false"/>
          <w:iCs w:val="false"/>
          <w:color w:val="000000"/>
          <w:sz w:val="24"/>
          <w:szCs w:val="24"/>
          <w:lang w:eastAsia="en-US"/>
        </w:rPr>
        <w:t xml:space="preserve">R$ R$ </w:t>
      </w:r>
      <w:r>
        <w:rPr>
          <w:rFonts w:eastAsia="Times New Roman" w:cs="Times New Roman" w:ascii="Arial" w:hAnsi="Arial"/>
          <w:b w:val="false"/>
          <w:bCs w:val="false"/>
          <w:i w:val="false"/>
          <w:iCs w:val="false"/>
          <w:color w:val="000000"/>
          <w:sz w:val="24"/>
          <w:szCs w:val="24"/>
          <w:lang w:eastAsia="en-US"/>
        </w:rPr>
        <w:t>81.181,86 (oitenta e um mil cento e oitenta e um reais e oitenta e seis centavos)</w:t>
      </w:r>
      <w:r>
        <w:rPr>
          <w:rFonts w:ascii="Arial" w:hAnsi="Arial"/>
          <w:b w:val="false"/>
          <w:bCs w:val="false"/>
          <w:i w:val="false"/>
          <w:iCs w:val="false"/>
          <w:sz w:val="24"/>
          <w:szCs w:val="24"/>
        </w:rPr>
        <w:t>,</w:t>
      </w:r>
      <w:r>
        <w:rPr>
          <w:rFonts w:ascii="Arial" w:hAnsi="Arial"/>
          <w:i/>
          <w:sz w:val="24"/>
          <w:szCs w:val="24"/>
        </w:rPr>
        <w:t xml:space="preserve"> </w:t>
      </w:r>
      <w:r>
        <w:rPr>
          <w:rFonts w:ascii="Arial" w:hAnsi="Arial"/>
          <w:iCs/>
          <w:sz w:val="24"/>
          <w:szCs w:val="24"/>
        </w:rPr>
        <w:t xml:space="preserve">conforme custos unitários </w:t>
      </w:r>
      <w:r>
        <w:rPr>
          <w:rFonts w:ascii="Arial" w:hAnsi="Arial"/>
          <w:sz w:val="24"/>
          <w:szCs w:val="24"/>
        </w:rPr>
        <w:t>apostos nos orçamentos e no quadro comparativo de preços simples em anexo.</w:t>
      </w:r>
    </w:p>
    <w:p>
      <w:pPr>
        <w:pStyle w:val="ListParagraph"/>
        <w:suppressAutoHyphens w:val="false"/>
        <w:spacing w:lineRule="auto" w:line="360"/>
        <w:ind w:hanging="0" w:left="-22" w:right="0"/>
        <w:jc w:val="both"/>
        <w:rPr>
          <w:rFonts w:ascii="Arial" w:hAnsi="Arial"/>
          <w:sz w:val="24"/>
          <w:szCs w:val="24"/>
        </w:rPr>
      </w:pPr>
      <w:r>
        <w:rPr>
          <w:rFonts w:ascii="Arial" w:hAnsi="Arial"/>
          <w:sz w:val="24"/>
          <w:szCs w:val="24"/>
        </w:rPr>
        <w:t xml:space="preserve">1.4. Os </w:t>
      </w:r>
      <w:r>
        <w:rPr>
          <w:rFonts w:ascii="Arial" w:hAnsi="Arial"/>
          <w:sz w:val="24"/>
          <w:szCs w:val="24"/>
        </w:rPr>
        <w:t>objeto</w:t>
      </w:r>
      <w:r>
        <w:rPr>
          <w:rFonts w:ascii="Arial" w:hAnsi="Arial"/>
          <w:sz w:val="24"/>
          <w:szCs w:val="24"/>
        </w:rPr>
        <w:t xml:space="preserve">s a serem adquiridos são os mais indicados para atender às necessidades </w:t>
      </w:r>
      <w:r>
        <w:rPr>
          <w:rFonts w:eastAsia="Times New Roman" w:cs="Times New Roman" w:ascii="Arial" w:hAnsi="Arial"/>
          <w:color w:val="auto"/>
          <w:kern w:val="0"/>
          <w:sz w:val="24"/>
          <w:szCs w:val="24"/>
          <w:lang w:val="pt-BR" w:eastAsia="pt-BR" w:bidi="ar-SA"/>
        </w:rPr>
        <w:t>da Secretaria Municipal de Serviços Urbanos e transporte</w:t>
      </w:r>
      <w:r>
        <w:rPr>
          <w:rFonts w:ascii="Arial" w:hAnsi="Arial"/>
          <w:sz w:val="24"/>
          <w:szCs w:val="24"/>
        </w:rPr>
        <w:t xml:space="preserve">, haja vista a qualidade, durabilidade, confiabilidade e melhor relação custo/benefício, sendo que são de alta confiabilidade e modernos. </w:t>
      </w:r>
    </w:p>
    <w:p>
      <w:pPr>
        <w:pStyle w:val="ListParagraph"/>
        <w:suppressAutoHyphens w:val="false"/>
        <w:spacing w:lineRule="auto" w:line="240"/>
        <w:ind w:hanging="0" w:left="-22" w:right="0"/>
        <w:jc w:val="both"/>
        <w:rPr/>
      </w:pPr>
      <w:r>
        <w:rPr/>
      </w:r>
    </w:p>
    <w:p>
      <w:pPr>
        <w:pStyle w:val="Nivel1"/>
        <w:spacing w:lineRule="auto" w:line="360" w:before="0" w:after="0"/>
        <w:ind w:hanging="0" w:left="0" w:right="0"/>
        <w:rPr>
          <w:rFonts w:ascii="Arial" w:hAnsi="Arial"/>
          <w:sz w:val="24"/>
          <w:szCs w:val="24"/>
        </w:rPr>
      </w:pPr>
      <w:r>
        <w:rPr>
          <w:rFonts w:cs="Times New Roman"/>
          <w:bCs/>
          <w:sz w:val="24"/>
          <w:szCs w:val="24"/>
        </w:rPr>
        <w:t>2. FUNDAMENTAÇÃO E DESCRIÇÃO DA NECESSIDADE DA CONTRATAÇÃO</w:t>
      </w:r>
    </w:p>
    <w:p>
      <w:pPr>
        <w:pStyle w:val="ListParagraph"/>
        <w:widowControl/>
        <w:numPr>
          <w:ilvl w:val="0"/>
          <w:numId w:val="1"/>
        </w:numPr>
        <w:suppressAutoHyphens w:val="true"/>
        <w:bidi w:val="0"/>
        <w:spacing w:lineRule="auto" w:line="360" w:before="0" w:after="0"/>
        <w:ind w:hanging="0" w:left="0" w:right="0"/>
        <w:contextualSpacing/>
        <w:jc w:val="both"/>
        <w:rPr>
          <w:rFonts w:ascii="Arial" w:hAnsi="Arial"/>
          <w:b w:val="false"/>
          <w:bCs w:val="false"/>
        </w:rPr>
      </w:pPr>
      <w:r>
        <w:rPr>
          <w:rFonts w:eastAsia="Arial" w:cs="Arial" w:ascii="Arial" w:hAnsi="Arial"/>
          <w:b w:val="false"/>
          <w:bCs w:val="false"/>
          <w:sz w:val="24"/>
          <w:szCs w:val="24"/>
          <w:shd w:fill="auto" w:val="clear"/>
        </w:rPr>
        <w:t>2</w:t>
      </w:r>
      <w:r>
        <w:rPr>
          <w:rFonts w:eastAsia="Arial" w:cs="Arial" w:ascii="Arial" w:hAnsi="Arial"/>
          <w:b w:val="false"/>
          <w:bCs w:val="false"/>
          <w:sz w:val="24"/>
          <w:szCs w:val="24"/>
          <w:shd w:fill="auto" w:val="clear"/>
        </w:rPr>
        <w:t xml:space="preserve">.1. A aquisição de pneus para a manutenção dos veículos destinados a limpeza públicas realizada neste município deve-se pela necessidade da Secretaria de Serviços Urbanos e Transporte por meio do Departamento de Limpeza Pública em realizar diariamente com caminhões compactadores e outros veículos a coleta dos RSU do município, não deixando ocorrer o acumulo de lixo urbano, evitando a ocorrência de focos de contaminação que torna o ambiente insalubre e propicia o aparecimento de doenças, visando oferecer a população bem estar e saúde com uma limpeza pública de qualidade. </w:t>
      </w:r>
    </w:p>
    <w:p>
      <w:pPr>
        <w:pStyle w:val="ListParagraph"/>
        <w:widowControl/>
        <w:numPr>
          <w:ilvl w:val="0"/>
          <w:numId w:val="1"/>
        </w:numPr>
        <w:suppressAutoHyphens w:val="true"/>
        <w:bidi w:val="0"/>
        <w:spacing w:lineRule="auto" w:line="360" w:before="0" w:after="0"/>
        <w:ind w:hanging="0" w:left="0" w:right="0"/>
        <w:contextualSpacing/>
        <w:jc w:val="both"/>
        <w:rPr/>
      </w:pPr>
      <w:r>
        <w:rPr>
          <w:rFonts w:eastAsia="Arial" w:cs="Arial" w:ascii="Arial" w:hAnsi="Arial"/>
          <w:b w:val="false"/>
          <w:bCs w:val="false"/>
          <w:sz w:val="24"/>
          <w:szCs w:val="24"/>
        </w:rPr>
        <w:t>2</w:t>
      </w:r>
      <w:r>
        <w:rPr>
          <w:rFonts w:eastAsia="Arial" w:cs="Arial" w:ascii="Arial" w:hAnsi="Arial"/>
          <w:b w:val="false"/>
          <w:bCs w:val="false"/>
          <w:sz w:val="24"/>
          <w:szCs w:val="24"/>
        </w:rPr>
        <w:t>.2. A quantidade foi estimada com base na demanda solicitada pel</w:t>
      </w:r>
      <w:r>
        <w:rPr>
          <w:rStyle w:val="Fontepargpadro1"/>
          <w:rFonts w:eastAsia="Arial" w:cs="Arial" w:ascii="Arial" w:hAnsi="Arial"/>
          <w:b w:val="false"/>
          <w:bCs w:val="false"/>
          <w:sz w:val="24"/>
          <w:szCs w:val="24"/>
        </w:rPr>
        <w:t>o Departamento de Limpeza Pública.</w:t>
      </w:r>
    </w:p>
    <w:p>
      <w:pPr>
        <w:pStyle w:val="ListParagraph"/>
        <w:widowControl/>
        <w:numPr>
          <w:ilvl w:val="0"/>
          <w:numId w:val="1"/>
        </w:numPr>
        <w:suppressAutoHyphens w:val="true"/>
        <w:bidi w:val="0"/>
        <w:spacing w:lineRule="auto" w:line="360" w:before="0" w:after="0"/>
        <w:ind w:hanging="0" w:left="0" w:right="0"/>
        <w:contextualSpacing/>
        <w:jc w:val="both"/>
        <w:rPr/>
      </w:pPr>
      <w:r>
        <w:rPr>
          <w:rFonts w:eastAsia="Arial" w:cs="Arial" w:ascii="Arial" w:hAnsi="Arial"/>
          <w:b w:val="false"/>
          <w:bCs w:val="false"/>
          <w:sz w:val="24"/>
          <w:szCs w:val="24"/>
          <w:shd w:fill="auto" w:val="clear"/>
        </w:rPr>
        <w:t>2</w:t>
      </w:r>
      <w:r>
        <w:rPr>
          <w:rFonts w:eastAsia="Arial" w:cs="Arial" w:ascii="Arial" w:hAnsi="Arial"/>
          <w:b w:val="false"/>
          <w:bCs w:val="false"/>
          <w:sz w:val="24"/>
          <w:szCs w:val="24"/>
          <w:shd w:fill="auto" w:val="clear"/>
        </w:rPr>
        <w:t>.</w:t>
      </w:r>
      <w:r>
        <w:rPr>
          <w:rFonts w:eastAsia="Arial" w:cs="Arial" w:ascii="Arial" w:hAnsi="Arial"/>
          <w:b w:val="false"/>
          <w:bCs w:val="false"/>
          <w:sz w:val="24"/>
          <w:szCs w:val="24"/>
          <w:shd w:fill="auto" w:val="clear"/>
        </w:rPr>
        <w:t>3</w:t>
      </w:r>
      <w:r>
        <w:rPr>
          <w:rFonts w:eastAsia="Arial" w:cs="Arial" w:ascii="Arial" w:hAnsi="Arial"/>
          <w:b w:val="false"/>
          <w:bCs w:val="false"/>
          <w:sz w:val="24"/>
          <w:szCs w:val="24"/>
          <w:shd w:fill="auto" w:val="clear"/>
        </w:rPr>
        <w:t>. A demanda se faz justificada para garantir à população o direito a coleta dos RSU dos  moradores do município.</w:t>
      </w:r>
    </w:p>
    <w:p>
      <w:pPr>
        <w:pStyle w:val="ListParagraph"/>
        <w:widowControl/>
        <w:numPr>
          <w:ilvl w:val="0"/>
          <w:numId w:val="1"/>
        </w:numPr>
        <w:suppressAutoHyphens w:val="true"/>
        <w:bidi w:val="0"/>
        <w:spacing w:lineRule="auto" w:line="240" w:before="0" w:after="0"/>
        <w:ind w:hanging="0" w:left="0" w:right="0"/>
        <w:contextualSpacing/>
        <w:jc w:val="both"/>
        <w:rPr>
          <w:rFonts w:ascii="Arial" w:hAnsi="Arial" w:eastAsia="Arial" w:cs="Arial"/>
          <w:b w:val="false"/>
          <w:bCs w:val="false"/>
          <w:sz w:val="24"/>
          <w:szCs w:val="24"/>
          <w:shd w:fill="auto" w:val="clear"/>
        </w:rPr>
      </w:pPr>
      <w:r>
        <w:rPr/>
      </w:r>
    </w:p>
    <w:p>
      <w:pPr>
        <w:pStyle w:val="ListParagraph"/>
        <w:widowControl/>
        <w:numPr>
          <w:ilvl w:val="0"/>
          <w:numId w:val="1"/>
        </w:numPr>
        <w:suppressAutoHyphens w:val="true"/>
        <w:bidi w:val="0"/>
        <w:spacing w:lineRule="auto" w:line="360" w:before="0" w:after="0"/>
        <w:ind w:hanging="0" w:left="0" w:right="0"/>
        <w:contextualSpacing/>
        <w:jc w:val="both"/>
        <w:rPr/>
      </w:pPr>
      <w:r>
        <w:rPr>
          <w:rFonts w:cs="Times New Roman" w:ascii="Arial" w:hAnsi="Arial"/>
          <w:b/>
          <w:bCs/>
          <w:sz w:val="24"/>
          <w:szCs w:val="24"/>
        </w:rPr>
        <w:t>3.</w:t>
      </w:r>
      <w:r>
        <w:rPr>
          <w:rFonts w:cs="Times New Roman" w:ascii="Arial" w:hAnsi="Arial"/>
          <w:b/>
          <w:bCs/>
          <w:sz w:val="24"/>
          <w:szCs w:val="24"/>
        </w:rPr>
        <w:t xml:space="preserve"> DESCRIÇÃO DA SOLUÇÃO COMO UM TODO CONSIDERADO O CICLO DE VIDA DO OBJETO E ESPECIFICAÇÃO DO PRODUTO</w:t>
      </w:r>
    </w:p>
    <w:p>
      <w:pPr>
        <w:pStyle w:val="Normal"/>
        <w:numPr>
          <w:ilvl w:val="0"/>
          <w:numId w:val="1"/>
        </w:numPr>
        <w:spacing w:lineRule="auto" w:line="360" w:before="0" w:after="0"/>
        <w:jc w:val="both"/>
        <w:rPr>
          <w:rFonts w:ascii="Arial" w:hAnsi="Arial"/>
          <w:b w:val="false"/>
          <w:bCs w:val="false"/>
        </w:rPr>
      </w:pPr>
      <w:r>
        <w:rPr>
          <w:rFonts w:cs="Arial" w:ascii="Arial" w:hAnsi="Arial"/>
          <w:b w:val="false"/>
          <w:bCs w:val="false"/>
          <w:sz w:val="24"/>
          <w:szCs w:val="24"/>
        </w:rPr>
        <w:t>3</w:t>
      </w:r>
      <w:r>
        <w:rPr>
          <w:rFonts w:cs="Arial" w:ascii="Arial" w:hAnsi="Arial"/>
          <w:b w:val="false"/>
          <w:bCs w:val="false"/>
          <w:sz w:val="24"/>
          <w:szCs w:val="24"/>
        </w:rPr>
        <w:t>.1 A solução a ser adotada consiste na</w:t>
      </w:r>
      <w:r>
        <w:rPr>
          <w:rFonts w:eastAsia="Times New Roman" w:cs="Arial" w:ascii="Arial" w:hAnsi="Arial"/>
          <w:b w:val="false"/>
          <w:bCs w:val="false"/>
          <w:color w:val="auto"/>
          <w:kern w:val="0"/>
          <w:sz w:val="24"/>
          <w:szCs w:val="24"/>
          <w:lang w:val="pt-BR" w:eastAsia="zh-CN" w:bidi="ar-SA"/>
        </w:rPr>
        <w:t xml:space="preserve"> aquisição de pneus destinado exclusivamente ao Departamento de Limpeza Pública, para realizar a manutenção dos veículos destinados a coleta dos resíduos sólidos urbanos deste município</w:t>
      </w:r>
      <w:r>
        <w:rPr>
          <w:rFonts w:eastAsia="Arial" w:cs="Arial" w:ascii="Arial" w:hAnsi="Arial"/>
          <w:b w:val="false"/>
          <w:bCs w:val="false"/>
          <w:color w:val="000000"/>
          <w:kern w:val="0"/>
          <w:sz w:val="24"/>
          <w:szCs w:val="24"/>
          <w:shd w:fill="auto" w:val="clear"/>
          <w:lang w:val="pt-BR" w:eastAsia="zh-CN" w:bidi="ar-SA"/>
        </w:rPr>
        <w:t xml:space="preserve">, proporcionando no município uma limpeza pública </w:t>
      </w:r>
      <w:r>
        <w:rPr>
          <w:rFonts w:eastAsia="Times New Roman" w:cs="Arial" w:ascii="Arial" w:hAnsi="Arial"/>
          <w:b w:val="false"/>
          <w:bCs w:val="false"/>
          <w:color w:val="000000"/>
          <w:kern w:val="0"/>
          <w:sz w:val="24"/>
          <w:szCs w:val="24"/>
          <w:shd w:fill="auto" w:val="clear"/>
          <w:lang w:val="pt-BR" w:eastAsia="zh-CN" w:bidi="ar-SA"/>
        </w:rPr>
        <w:t xml:space="preserve">bem executada, oferecendo a população e visitantes uma cidade limpa e livre de focos de contaminação,  </w:t>
      </w:r>
    </w:p>
    <w:p>
      <w:pPr>
        <w:pStyle w:val="Normal"/>
        <w:numPr>
          <w:ilvl w:val="0"/>
          <w:numId w:val="1"/>
        </w:numPr>
        <w:spacing w:lineRule="auto" w:line="360" w:before="0" w:after="0"/>
        <w:jc w:val="both"/>
        <w:rPr>
          <w:rFonts w:ascii="Arial" w:hAnsi="Arial"/>
          <w:b w:val="false"/>
          <w:bCs w:val="false"/>
        </w:rPr>
      </w:pPr>
      <w:r>
        <w:rPr>
          <w:rFonts w:cs="Arial" w:ascii="Arial" w:hAnsi="Arial"/>
          <w:b w:val="false"/>
          <w:bCs w:val="false"/>
          <w:sz w:val="24"/>
          <w:szCs w:val="24"/>
        </w:rPr>
        <w:t>3</w:t>
      </w:r>
      <w:r>
        <w:rPr>
          <w:rFonts w:cs="Arial" w:ascii="Arial" w:hAnsi="Arial"/>
          <w:b w:val="false"/>
          <w:bCs w:val="false"/>
          <w:sz w:val="24"/>
          <w:szCs w:val="24"/>
        </w:rPr>
        <w:t>.2. As especificações dos produtos que estão contidas neste Estudo Técnico Preliminar, conforme solicitação de compras em anexo, estão de acordo com os padrões existentes no mercado.</w:t>
      </w:r>
    </w:p>
    <w:p>
      <w:pPr>
        <w:pStyle w:val="Normal"/>
        <w:numPr>
          <w:ilvl w:val="0"/>
          <w:numId w:val="1"/>
        </w:numPr>
        <w:spacing w:lineRule="auto" w:line="360" w:before="0" w:after="0"/>
        <w:jc w:val="both"/>
        <w:rPr>
          <w:rFonts w:ascii="Arial" w:hAnsi="Arial"/>
          <w:b w:val="false"/>
          <w:bCs w:val="false"/>
        </w:rPr>
      </w:pPr>
      <w:r>
        <w:rPr>
          <w:rFonts w:cs="Arial" w:ascii="Arial" w:hAnsi="Arial"/>
          <w:b w:val="false"/>
          <w:bCs w:val="false"/>
          <w:sz w:val="24"/>
          <w:szCs w:val="24"/>
        </w:rPr>
        <w:t>3</w:t>
      </w:r>
      <w:r>
        <w:rPr>
          <w:rFonts w:cs="Arial" w:ascii="Arial" w:hAnsi="Arial"/>
          <w:b w:val="false"/>
          <w:bCs w:val="false"/>
          <w:sz w:val="24"/>
          <w:szCs w:val="24"/>
        </w:rPr>
        <w:t>.3 A aquisição deverá obedecer, no que couber, ao disposto na Lei n.º 14.133/2021 e suas alterações.</w:t>
      </w:r>
    </w:p>
    <w:p>
      <w:pPr>
        <w:pStyle w:val="Normal"/>
        <w:numPr>
          <w:ilvl w:val="0"/>
          <w:numId w:val="1"/>
        </w:numPr>
        <w:spacing w:lineRule="auto" w:line="240" w:before="0" w:after="0"/>
        <w:jc w:val="both"/>
        <w:rPr>
          <w:rFonts w:ascii="Arial" w:hAnsi="Arial" w:cs="Arial"/>
          <w:b/>
          <w:sz w:val="24"/>
          <w:szCs w:val="24"/>
          <w:u w:val="single"/>
        </w:rPr>
      </w:pPr>
      <w:r>
        <w:rPr>
          <w:rFonts w:cs="Arial" w:ascii="Arial" w:hAnsi="Arial"/>
          <w:b/>
          <w:sz w:val="24"/>
          <w:szCs w:val="24"/>
          <w:u w:val="single"/>
        </w:rPr>
      </w:r>
    </w:p>
    <w:p>
      <w:pPr>
        <w:pStyle w:val="Nivel1"/>
        <w:spacing w:lineRule="auto" w:line="360" w:before="0" w:after="0"/>
        <w:ind w:hanging="0" w:left="0" w:right="0"/>
        <w:rPr>
          <w:rFonts w:ascii="Arial" w:hAnsi="Arial"/>
          <w:sz w:val="24"/>
          <w:szCs w:val="24"/>
        </w:rPr>
      </w:pPr>
      <w:r>
        <w:rPr>
          <w:rFonts w:cs="Times New Roman"/>
          <w:bCs/>
          <w:sz w:val="24"/>
          <w:szCs w:val="24"/>
        </w:rPr>
        <w:t xml:space="preserve">4. REQUISITOS DA CONTRATAÇÃO </w:t>
      </w:r>
    </w:p>
    <w:p>
      <w:pPr>
        <w:pStyle w:val="Normal"/>
        <w:spacing w:lineRule="auto" w:line="360" w:before="0" w:after="0"/>
        <w:jc w:val="both"/>
        <w:rPr>
          <w:rFonts w:ascii="Arial" w:hAnsi="Arial"/>
          <w:sz w:val="24"/>
          <w:szCs w:val="24"/>
        </w:rPr>
      </w:pPr>
      <w:r>
        <w:rPr>
          <w:rFonts w:eastAsia="Arial" w:cs="Arial" w:ascii="Arial" w:hAnsi="Arial"/>
          <w:b w:val="false"/>
          <w:bCs w:val="false"/>
          <w:sz w:val="24"/>
          <w:szCs w:val="24"/>
        </w:rPr>
        <w:t>4.1. Neste procedimento será consagrada vencedora o fornecedor que apresentar o menor preço, que poderá ser utilizado o critério de</w:t>
      </w:r>
      <w:r>
        <w:rPr>
          <w:rFonts w:eastAsia="Arial" w:cs="Arial" w:ascii="Arial" w:hAnsi="Arial"/>
          <w:b/>
          <w:bCs/>
          <w:sz w:val="24"/>
          <w:szCs w:val="24"/>
        </w:rPr>
        <w:t xml:space="preserve"> menor preço por item.</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4.2. P</w:t>
      </w:r>
      <w:r>
        <w:rPr>
          <w:rFonts w:eastAsia="Times New Roman" w:cs="Times New Roman" w:ascii="Arial" w:hAnsi="Arial"/>
          <w:b w:val="false"/>
          <w:bCs w:val="false"/>
          <w:i w:val="false"/>
          <w:iCs w:val="false"/>
          <w:color w:val="000000"/>
          <w:sz w:val="24"/>
          <w:szCs w:val="24"/>
          <w:u w:val="none"/>
        </w:rPr>
        <w:t>ara garantir a segurança dos usuários e motoristas que utilizam os veículos de maneira que atendam padrões recomendados pelas montadoras, que tenham procedência, que estejam dentro dos parâmetros recomendados constantes no manual do fabricante dos respectivos veículos da frota municipal, bem assim da manutenção preventiva de estabelecidas pelo INMETRO, produto também certificado pelo Instituto de Qualidade Automotiva (IQA).</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 xml:space="preserve">4.3. </w:t>
      </w:r>
      <w:r>
        <w:rPr>
          <w:rFonts w:eastAsia="Times New Roman" w:cs="Times New Roman" w:ascii="Arial" w:hAnsi="Arial"/>
          <w:b w:val="false"/>
          <w:bCs w:val="false"/>
          <w:i w:val="false"/>
          <w:iCs w:val="false"/>
          <w:color w:val="000000"/>
          <w:sz w:val="24"/>
          <w:szCs w:val="24"/>
          <w:u w:val="none"/>
        </w:rPr>
        <w:t>Os pneus deverão ser de 1ª linha, com no máximo de 01 (um) ano de fabricação à data do fornecimento.</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 xml:space="preserve">4.3.1. </w:t>
      </w:r>
      <w:r>
        <w:rPr>
          <w:rFonts w:eastAsia="Times New Roman" w:cs="Times New Roman" w:ascii="Arial" w:hAnsi="Arial"/>
          <w:b w:val="false"/>
          <w:bCs w:val="false"/>
          <w:i w:val="false"/>
          <w:iCs w:val="false"/>
          <w:color w:val="000000"/>
          <w:sz w:val="24"/>
          <w:szCs w:val="24"/>
          <w:u w:val="none"/>
        </w:rPr>
        <w:t>A Contratada fica obrigada a manter a garantia dos produtos exigida no Termo por no mínimo 4 (quatro) anos, a partir da data de fabricação, sob pena de sofrer as sanções legais aplicáveis, além de ser obrigada a reparar os prejuízos que causar a Contratante ou a terceiros, decorrentes de falhas nos produtos ou de sua respectiva entrega ou ainda relacionados à fabricação ou armazenagem.</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4.4. Os produtos deverão ser novos e entregues devidamente embalados, acondicionados e transportados com segurança e sob a responsabilidade da contratada, no local indicado pelo órgão emissor da autorização de fornecimento (município consorciado), que recusará o recebimento se o objeto for entregue em desconformidade com esta previsão.</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4.5. Os bens têm natureza de bens comuns, tendo em vista que seus padrões de desempenho e qualidade podem ser objetivamente definidos pelo edital, por meio de especificações usuais de mercado, nos termos do art. 6º, inciso XIII, da Lei Federal nº 14.133/2021.</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4.6. Para fornecimento dos itens pretendidos os eventuais interessados deverão comprovar que atuam em ramo de atividade compatível com o objeto da licitação, bem como apresentar os documentos solicitados no edital para a devida habilitação, nos termos do art. 62 da Lei Federal nº 14.133/2021.</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 xml:space="preserve">4.7. </w:t>
      </w:r>
      <w:r>
        <w:rPr>
          <w:rFonts w:eastAsia="Times New Roman" w:cs="Times New Roman" w:ascii="Arial" w:hAnsi="Arial"/>
          <w:b w:val="false"/>
          <w:bCs w:val="false"/>
          <w:i w:val="false"/>
          <w:iCs w:val="false"/>
          <w:color w:val="000000"/>
          <w:sz w:val="24"/>
          <w:szCs w:val="24"/>
          <w:u w:val="none"/>
        </w:rPr>
        <w:t>Para a perfeita execução do objeto deste contrato, aplica-se, no que couber, o Código de Defesa do Consumidor – Lei Nº 8.078/1990</w:t>
      </w:r>
    </w:p>
    <w:p>
      <w:pPr>
        <w:pStyle w:val="Normal"/>
        <w:spacing w:lineRule="auto" w:line="240" w:before="0" w:after="0"/>
        <w:jc w:val="both"/>
        <w:rPr>
          <w:rFonts w:ascii="Arial" w:hAnsi="Arial" w:cs="Arial"/>
          <w:b/>
          <w:bCs/>
          <w:sz w:val="24"/>
          <w:szCs w:val="24"/>
          <w:u w:val="single"/>
        </w:rPr>
      </w:pPr>
      <w:r>
        <w:rPr>
          <w:rFonts w:cs="Arial" w:ascii="Arial" w:hAnsi="Arial"/>
          <w:b/>
          <w:bCs/>
          <w:sz w:val="24"/>
          <w:szCs w:val="24"/>
          <w:u w:val="single"/>
        </w:rPr>
      </w:r>
    </w:p>
    <w:p>
      <w:pPr>
        <w:pStyle w:val="Normal"/>
        <w:spacing w:lineRule="auto" w:line="360" w:before="0" w:after="0"/>
        <w:jc w:val="both"/>
        <w:rPr>
          <w:rFonts w:ascii="Arial" w:hAnsi="Arial" w:cs="Arial"/>
          <w:b/>
          <w:bCs/>
          <w:sz w:val="24"/>
          <w:szCs w:val="24"/>
          <w:u w:val="single"/>
        </w:rPr>
      </w:pPr>
      <w:r>
        <w:rPr>
          <w:rFonts w:eastAsia="Times New Roman" w:cs="Times New Roman" w:ascii="Arial" w:hAnsi="Arial"/>
          <w:b/>
          <w:bCs/>
          <w:i w:val="false"/>
          <w:iCs w:val="false"/>
          <w:color w:val="000000"/>
          <w:sz w:val="24"/>
          <w:szCs w:val="24"/>
          <w:u w:val="none"/>
        </w:rPr>
        <w:tab/>
        <w:t xml:space="preserve">4.8 QUALIFICAÇÃO TÉCNICA </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a) Atestado(s) de capacidade técnica da licitante, emitido por pessoa jurídica de direito público ou privado, que comprove(m) que a empresa preste ou prestou SATISFATORIAMENTE serviços compatíveis àquele(s), objeto(s) desta licitação e que os termos contratuais estão sendo ou foram cumpridos integralmente;</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b) Certificado(s) emitido(s) em nome do(s) fabricante(s) ou importador(es) dos pneus, pelo Instituto Brasileiro do Meio Ambiente e dos Recursos Naturais Renováveis (IBAMA), para atestar e efetivar a preservação do meio ambiente e desenvolvimento sustentável;</w:t>
      </w:r>
    </w:p>
    <w:p>
      <w:pPr>
        <w:pStyle w:val="Normal"/>
        <w:spacing w:lineRule="auto" w:line="360" w:before="0" w:after="0"/>
        <w:jc w:val="both"/>
        <w:rPr>
          <w:rFonts w:ascii="Arial" w:hAnsi="Arial"/>
          <w:sz w:val="24"/>
          <w:szCs w:val="24"/>
        </w:rPr>
      </w:pPr>
      <w:r>
        <w:rPr>
          <w:rFonts w:eastAsia="Times New Roman" w:cs="Times New Roman" w:ascii="Arial" w:hAnsi="Arial"/>
          <w:b w:val="false"/>
          <w:bCs w:val="false"/>
          <w:i w:val="false"/>
          <w:iCs w:val="false"/>
          <w:color w:val="000000"/>
          <w:sz w:val="24"/>
          <w:szCs w:val="24"/>
          <w:u w:val="none"/>
        </w:rPr>
        <w:t>c) A empresa vencedora do certame deverá apresentar juntamente com a documentação de habilitação a certificação das Normas Brasileira (INMETRO) vigentes da marca ofertada garantido a qualidade dos produtos.</w:t>
      </w:r>
    </w:p>
    <w:p>
      <w:pPr>
        <w:pStyle w:val="Normal"/>
        <w:spacing w:lineRule="auto" w:line="360" w:before="0" w:after="0"/>
        <w:jc w:val="both"/>
        <w:rPr>
          <w:rFonts w:ascii="Arial" w:hAnsi="Arial"/>
          <w:sz w:val="24"/>
          <w:szCs w:val="24"/>
        </w:rPr>
      </w:pPr>
      <w:r>
        <w:rPr>
          <w:rFonts w:cs="Arial" w:ascii="Arial" w:hAnsi="Arial"/>
          <w:b/>
          <w:sz w:val="24"/>
          <w:szCs w:val="24"/>
          <w:u w:val="single"/>
        </w:rPr>
      </w:r>
    </w:p>
    <w:p>
      <w:pPr>
        <w:pStyle w:val="Nivel1"/>
        <w:spacing w:lineRule="auto" w:line="360" w:before="0" w:after="0"/>
        <w:ind w:hanging="0" w:left="0" w:right="0"/>
        <w:rPr>
          <w:rFonts w:ascii="Arial" w:hAnsi="Arial"/>
          <w:sz w:val="24"/>
          <w:szCs w:val="24"/>
        </w:rPr>
      </w:pPr>
      <w:r>
        <w:rPr>
          <w:rFonts w:cs="Times New Roman"/>
          <w:sz w:val="24"/>
          <w:szCs w:val="24"/>
        </w:rPr>
        <w:t xml:space="preserve">5. MODELO DE EXECUÇÃO CONTRATUAL </w:t>
      </w:r>
    </w:p>
    <w:p>
      <w:pPr>
        <w:pStyle w:val="ListParagraph"/>
        <w:tabs>
          <w:tab w:val="clear" w:pos="708"/>
          <w:tab w:val="left" w:pos="0" w:leader="none"/>
          <w:tab w:val="left" w:pos="450" w:leader="none"/>
        </w:tabs>
        <w:spacing w:lineRule="auto" w:line="360"/>
        <w:ind w:firstLine="57" w:left="-57" w:right="0"/>
        <w:jc w:val="both"/>
        <w:rPr>
          <w:rFonts w:ascii="Arial" w:hAnsi="Arial"/>
          <w:sz w:val="24"/>
          <w:szCs w:val="24"/>
        </w:rPr>
      </w:pPr>
      <w:r>
        <w:rPr>
          <w:rFonts w:cs="Times New Roman" w:ascii="Arial" w:hAnsi="Arial"/>
          <w:b w:val="false"/>
          <w:bCs w:val="false"/>
          <w:iCs/>
          <w:sz w:val="24"/>
          <w:szCs w:val="24"/>
        </w:rPr>
        <w:t>5.1.</w:t>
      </w:r>
      <w:r>
        <w:rPr>
          <w:rFonts w:cs="Times New Roman" w:ascii="Arial" w:hAnsi="Arial"/>
          <w:bCs/>
          <w:iCs/>
          <w:sz w:val="24"/>
          <w:szCs w:val="24"/>
        </w:rPr>
        <w:t xml:space="preserve"> O prazo </w:t>
      </w:r>
      <w:r>
        <w:rPr>
          <w:rFonts w:eastAsia="Times New Roman" w:cs="Times New Roman" w:ascii="Arial" w:hAnsi="Arial"/>
          <w:bCs/>
          <w:iCs/>
          <w:sz w:val="24"/>
          <w:szCs w:val="24"/>
        </w:rPr>
        <w:t>de entrega do objeto</w:t>
      </w:r>
      <w:r>
        <w:rPr>
          <w:rFonts w:cs="Times New Roman" w:ascii="Arial" w:hAnsi="Arial"/>
          <w:bCs/>
          <w:iCs/>
          <w:sz w:val="24"/>
          <w:szCs w:val="24"/>
        </w:rPr>
        <w:t xml:space="preserve"> será </w:t>
      </w:r>
      <w:r>
        <w:rPr>
          <w:rFonts w:eastAsia="Times New Roman" w:cs="Times New Roman" w:ascii="Arial" w:hAnsi="Arial"/>
          <w:bCs/>
          <w:iCs/>
          <w:sz w:val="24"/>
          <w:szCs w:val="24"/>
        </w:rPr>
        <w:t>de 15 (quinze) dias, contados</w:t>
      </w:r>
      <w:r>
        <w:rPr>
          <w:rFonts w:cs="Times New Roman" w:ascii="Arial" w:hAnsi="Arial"/>
          <w:bCs/>
          <w:iCs/>
          <w:sz w:val="24"/>
          <w:szCs w:val="24"/>
        </w:rPr>
        <w:t xml:space="preserve"> a partir da confirmação de recebimento da autorização de fornecimento/execução emitida pelo Departamento de Compras e Contratos.</w:t>
      </w:r>
    </w:p>
    <w:p>
      <w:pPr>
        <w:pStyle w:val="Normal"/>
        <w:tabs>
          <w:tab w:val="clear" w:pos="708"/>
          <w:tab w:val="left" w:pos="0" w:leader="none"/>
        </w:tabs>
        <w:spacing w:lineRule="auto" w:line="360"/>
        <w:ind w:hanging="0" w:left="0" w:right="0"/>
        <w:jc w:val="both"/>
        <w:rPr>
          <w:rFonts w:ascii="Arial" w:hAnsi="Arial"/>
          <w:sz w:val="24"/>
          <w:szCs w:val="24"/>
        </w:rPr>
      </w:pPr>
      <w:r>
        <w:rPr>
          <w:rFonts w:ascii="Arial" w:hAnsi="Arial"/>
          <w:b w:val="false"/>
          <w:bCs w:val="false"/>
          <w:sz w:val="24"/>
          <w:szCs w:val="24"/>
        </w:rPr>
        <w:t>5.2.</w:t>
      </w:r>
      <w:r>
        <w:rPr>
          <w:rFonts w:ascii="Arial" w:hAnsi="Arial"/>
          <w:sz w:val="24"/>
          <w:szCs w:val="24"/>
        </w:rPr>
        <w:t xml:space="preserve"> </w:t>
      </w:r>
      <w:r>
        <w:rPr>
          <w:rFonts w:eastAsia="Times New Roman" w:cs="Times New Roman" w:ascii="Arial" w:hAnsi="Arial"/>
          <w:sz w:val="24"/>
          <w:szCs w:val="24"/>
        </w:rPr>
        <w:t>O objeto</w:t>
      </w:r>
      <w:r>
        <w:rPr>
          <w:rFonts w:ascii="Arial" w:hAnsi="Arial"/>
          <w:sz w:val="24"/>
          <w:szCs w:val="24"/>
        </w:rPr>
        <w:t xml:space="preserve"> deverá ser entregue no seguinte endereço:</w:t>
      </w:r>
    </w:p>
    <w:p>
      <w:pPr>
        <w:pStyle w:val="Normal"/>
        <w:tabs>
          <w:tab w:val="clear" w:pos="708"/>
          <w:tab w:val="left" w:pos="0" w:leader="none"/>
        </w:tabs>
        <w:spacing w:lineRule="auto" w:line="360"/>
        <w:ind w:hanging="0" w:left="0" w:right="0"/>
        <w:jc w:val="both"/>
        <w:rPr>
          <w:rFonts w:ascii="Arial" w:hAnsi="Arial"/>
          <w:sz w:val="24"/>
          <w:szCs w:val="24"/>
        </w:rPr>
      </w:pPr>
      <w:r>
        <w:rPr>
          <w:rFonts w:eastAsia="Times New Roman" w:cs="Times New Roman" w:ascii="Arial" w:hAnsi="Arial"/>
          <w:color w:val="auto"/>
          <w:kern w:val="0"/>
          <w:sz w:val="24"/>
          <w:szCs w:val="24"/>
          <w:lang w:val="pt-BR" w:eastAsia="pt-BR" w:bidi="ar-SA"/>
        </w:rPr>
        <w:t>- Departamento de Almoxarifado Central</w:t>
      </w:r>
      <w:r>
        <w:rPr>
          <w:rFonts w:ascii="Arial" w:hAnsi="Arial"/>
          <w:sz w:val="24"/>
          <w:szCs w:val="24"/>
        </w:rPr>
        <w:t xml:space="preserve"> da Prefeitura Municipal de São Gabriel da Palha (lateral do prédio)</w:t>
      </w:r>
    </w:p>
    <w:p>
      <w:pPr>
        <w:pStyle w:val="Normal"/>
        <w:tabs>
          <w:tab w:val="clear" w:pos="708"/>
          <w:tab w:val="left" w:pos="0" w:leader="none"/>
        </w:tabs>
        <w:spacing w:lineRule="auto" w:line="360"/>
        <w:ind w:hanging="0" w:left="0" w:right="0"/>
        <w:jc w:val="both"/>
        <w:rPr>
          <w:rFonts w:ascii="Arial" w:hAnsi="Arial"/>
          <w:sz w:val="24"/>
          <w:szCs w:val="24"/>
        </w:rPr>
      </w:pPr>
      <w:r>
        <w:rPr>
          <w:rFonts w:ascii="Arial" w:hAnsi="Arial"/>
          <w:sz w:val="24"/>
          <w:szCs w:val="24"/>
        </w:rPr>
        <w:t xml:space="preserve"> </w:t>
      </w:r>
      <w:r>
        <w:rPr>
          <w:rFonts w:ascii="Arial" w:hAnsi="Arial"/>
          <w:sz w:val="24"/>
          <w:szCs w:val="24"/>
        </w:rPr>
        <w:t xml:space="preserve">- Praça Vicente Glazar, 159, Bairro </w:t>
      </w:r>
      <w:r>
        <w:rPr>
          <w:rFonts w:eastAsia="Times New Roman" w:cs="Times New Roman" w:ascii="Arial" w:hAnsi="Arial"/>
          <w:color w:val="auto"/>
          <w:kern w:val="0"/>
          <w:sz w:val="24"/>
          <w:szCs w:val="24"/>
          <w:lang w:val="pt-BR" w:eastAsia="pt-BR" w:bidi="ar-SA"/>
        </w:rPr>
        <w:t>Glória.</w:t>
      </w:r>
    </w:p>
    <w:p>
      <w:pPr>
        <w:pStyle w:val="Normal"/>
        <w:tabs>
          <w:tab w:val="clear" w:pos="708"/>
          <w:tab w:val="left" w:pos="0" w:leader="none"/>
        </w:tabs>
        <w:spacing w:lineRule="auto" w:line="360"/>
        <w:ind w:hanging="0" w:left="0" w:right="0"/>
        <w:jc w:val="both"/>
        <w:rPr>
          <w:rFonts w:ascii="Arial" w:hAnsi="Arial"/>
          <w:sz w:val="24"/>
          <w:szCs w:val="24"/>
        </w:rPr>
      </w:pPr>
      <w:r>
        <w:rPr>
          <w:rFonts w:eastAsia="Times New Roman" w:cs="Times New Roman" w:ascii="Arial" w:hAnsi="Arial"/>
          <w:color w:val="auto"/>
          <w:kern w:val="0"/>
          <w:sz w:val="24"/>
          <w:szCs w:val="24"/>
          <w:lang w:val="pt-BR" w:eastAsia="pt-BR" w:bidi="ar-SA"/>
        </w:rPr>
        <w:t xml:space="preserve"> </w:t>
      </w:r>
      <w:r>
        <w:rPr>
          <w:rFonts w:eastAsia="Times New Roman" w:cs="Times New Roman" w:ascii="Arial" w:hAnsi="Arial"/>
          <w:color w:val="auto"/>
          <w:kern w:val="0"/>
          <w:sz w:val="24"/>
          <w:szCs w:val="24"/>
          <w:lang w:val="pt-BR" w:eastAsia="pt-BR" w:bidi="ar-SA"/>
        </w:rPr>
        <w:t>- São Gabriel da Palha – ES, Cep .29.780-000.</w:t>
      </w:r>
    </w:p>
    <w:p>
      <w:pPr>
        <w:pStyle w:val="Normal"/>
        <w:tabs>
          <w:tab w:val="clear" w:pos="708"/>
          <w:tab w:val="left" w:pos="508" w:leader="none"/>
        </w:tabs>
        <w:spacing w:lineRule="auto" w:line="360"/>
        <w:ind w:hanging="0" w:left="0" w:right="0"/>
        <w:jc w:val="both"/>
        <w:rPr>
          <w:rFonts w:ascii="Arial" w:hAnsi="Arial"/>
          <w:sz w:val="24"/>
          <w:szCs w:val="24"/>
        </w:rPr>
      </w:pPr>
      <w:r>
        <w:rPr>
          <w:rFonts w:ascii="Arial" w:hAnsi="Arial"/>
          <w:sz w:val="24"/>
          <w:szCs w:val="24"/>
        </w:rPr>
        <w:t xml:space="preserve"> </w:t>
      </w:r>
      <w:r>
        <w:rPr>
          <w:rFonts w:ascii="Arial" w:hAnsi="Arial"/>
          <w:sz w:val="24"/>
          <w:szCs w:val="24"/>
        </w:rPr>
        <w:t>- Telefone de contato: (27) 3727-2770</w:t>
      </w:r>
    </w:p>
    <w:p>
      <w:pPr>
        <w:pStyle w:val="Normal"/>
        <w:tabs>
          <w:tab w:val="clear" w:pos="708"/>
          <w:tab w:val="left" w:pos="508" w:leader="none"/>
        </w:tabs>
        <w:spacing w:lineRule="auto" w:line="360"/>
        <w:ind w:hanging="0" w:left="20" w:right="0"/>
        <w:jc w:val="both"/>
        <w:rPr/>
      </w:pPr>
      <w:r>
        <w:rPr>
          <w:rStyle w:val="Hyperlink"/>
          <w:rFonts w:eastAsia="Times New Roman" w:cs="Times New Roman" w:ascii="Arial" w:hAnsi="Arial"/>
          <w:color w:val="000000"/>
          <w:sz w:val="24"/>
          <w:szCs w:val="24"/>
          <w:u w:val="none"/>
        </w:rPr>
        <w:t xml:space="preserve"> </w:t>
      </w:r>
      <w:r>
        <w:rPr>
          <w:rStyle w:val="Hyperlink"/>
          <w:rFonts w:eastAsia="Times New Roman" w:cs="Times New Roman" w:ascii="Arial" w:hAnsi="Arial"/>
          <w:color w:val="000000"/>
          <w:sz w:val="24"/>
          <w:szCs w:val="24"/>
          <w:u w:val="none"/>
        </w:rPr>
        <w:t xml:space="preserve">- E-mail: </w:t>
      </w:r>
      <w:r>
        <w:rPr>
          <w:rStyle w:val="Hyperlink"/>
          <w:rFonts w:eastAsia="Times New Roman" w:cs="Times New Roman" w:ascii="Arial" w:hAnsi="Arial"/>
          <w:color w:val="000000"/>
          <w:kern w:val="0"/>
          <w:sz w:val="24"/>
          <w:szCs w:val="24"/>
          <w:u w:val="none"/>
          <w:lang w:val="pt-BR" w:eastAsia="pt-BR" w:bidi="ar-SA"/>
        </w:rPr>
        <w:t>servurbanos@saogabriel.es.gov.br</w:t>
      </w:r>
    </w:p>
    <w:p>
      <w:pPr>
        <w:pStyle w:val="Normal"/>
        <w:tabs>
          <w:tab w:val="clear" w:pos="708"/>
          <w:tab w:val="left" w:pos="508" w:leader="none"/>
        </w:tabs>
        <w:spacing w:lineRule="auto" w:line="360"/>
        <w:ind w:hanging="0" w:left="0" w:right="0"/>
        <w:jc w:val="both"/>
        <w:rPr>
          <w:rFonts w:ascii="Arial" w:hAnsi="Arial"/>
          <w:sz w:val="24"/>
          <w:szCs w:val="24"/>
        </w:rPr>
      </w:pPr>
      <w:r>
        <w:rPr>
          <w:rFonts w:cs="Times New Roman" w:ascii="Arial" w:hAnsi="Arial"/>
          <w:b w:val="false"/>
          <w:bCs w:val="false"/>
          <w:iCs/>
          <w:sz w:val="24"/>
          <w:szCs w:val="24"/>
        </w:rPr>
        <w:t xml:space="preserve">- Responsável: </w:t>
      </w:r>
      <w:r>
        <w:rPr>
          <w:rFonts w:eastAsia="Times New Roman" w:cs="Times New Roman" w:ascii="Arial" w:hAnsi="Arial"/>
          <w:b w:val="false"/>
          <w:bCs w:val="false"/>
          <w:iCs/>
          <w:sz w:val="24"/>
          <w:szCs w:val="24"/>
          <w:u w:val="none"/>
        </w:rPr>
        <w:t xml:space="preserve">Secretaria Municipal de </w:t>
      </w:r>
      <w:r>
        <w:rPr>
          <w:rFonts w:eastAsia="Times New Roman" w:cs="Times New Roman" w:ascii="Arial" w:hAnsi="Arial"/>
          <w:b w:val="false"/>
          <w:bCs w:val="false"/>
          <w:iCs/>
          <w:color w:val="auto"/>
          <w:kern w:val="0"/>
          <w:sz w:val="24"/>
          <w:szCs w:val="24"/>
          <w:u w:val="none"/>
          <w:lang w:val="pt-BR" w:eastAsia="pt-BR" w:bidi="ar-SA"/>
        </w:rPr>
        <w:t>Serviços Urbanos e Transporte</w:t>
      </w:r>
    </w:p>
    <w:p>
      <w:pPr>
        <w:pStyle w:val="Normal"/>
        <w:tabs>
          <w:tab w:val="clear" w:pos="708"/>
          <w:tab w:val="left" w:pos="508" w:leader="none"/>
        </w:tabs>
        <w:spacing w:lineRule="auto" w:line="360"/>
        <w:ind w:hanging="0" w:left="0" w:right="0"/>
        <w:jc w:val="both"/>
        <w:rPr>
          <w:b w:val="false"/>
          <w:bCs w:val="false"/>
        </w:rPr>
      </w:pPr>
      <w:r>
        <w:rPr>
          <w:rFonts w:eastAsia="Times New Roman" w:cs="Times New Roman" w:ascii="Arial" w:hAnsi="Arial"/>
          <w:b w:val="false"/>
          <w:bCs w:val="false"/>
          <w:iCs/>
          <w:color w:val="auto"/>
          <w:kern w:val="0"/>
          <w:sz w:val="24"/>
          <w:szCs w:val="24"/>
          <w:u w:val="none"/>
          <w:lang w:val="pt-BR" w:eastAsia="pt-BR" w:bidi="ar-SA"/>
        </w:rPr>
        <w:t>5.2.1.</w:t>
      </w:r>
      <w:r>
        <w:rPr>
          <w:rFonts w:eastAsia="Times New Roman" w:cs="Arial" w:ascii="Arial" w:hAnsi="Arial"/>
          <w:b w:val="false"/>
          <w:bCs w:val="false"/>
          <w:iCs/>
          <w:color w:val="auto"/>
          <w:kern w:val="0"/>
          <w:sz w:val="24"/>
          <w:szCs w:val="24"/>
          <w:u w:val="none"/>
          <w:lang w:val="pt-BR" w:eastAsia="pt-BR" w:bidi="ar-SA"/>
        </w:rPr>
        <w:t>. ÁREA REQUISITANTE</w:t>
      </w:r>
    </w:p>
    <w:p>
      <w:pPr>
        <w:pStyle w:val="Normal"/>
        <w:tabs>
          <w:tab w:val="clear" w:pos="708"/>
          <w:tab w:val="left" w:pos="508" w:leader="none"/>
        </w:tabs>
        <w:spacing w:lineRule="auto" w:line="360"/>
        <w:ind w:hanging="0" w:left="0" w:right="0"/>
        <w:jc w:val="both"/>
        <w:rPr>
          <w:b w:val="false"/>
          <w:bCs w:val="false"/>
        </w:rPr>
      </w:pPr>
      <w:r>
        <w:rPr>
          <w:rFonts w:eastAsia="Arial" w:cs="Arial" w:ascii="Arial" w:hAnsi="Arial"/>
          <w:b w:val="false"/>
          <w:bCs w:val="false"/>
          <w:i w:val="false"/>
          <w:iCs w:val="false"/>
          <w:color w:val="auto"/>
          <w:kern w:val="0"/>
          <w:sz w:val="24"/>
          <w:szCs w:val="24"/>
          <w:u w:val="none"/>
          <w:lang w:val="pt-BR" w:eastAsia="zh-CN" w:bidi="ar-SA"/>
        </w:rPr>
        <w:t>Departamento de Limpeza Pública</w:t>
      </w:r>
    </w:p>
    <w:p>
      <w:pPr>
        <w:pStyle w:val="Nivel2"/>
        <w:spacing w:lineRule="auto" w:line="360" w:before="0" w:after="0"/>
        <w:ind w:hanging="0" w:left="0" w:right="0"/>
        <w:rPr>
          <w:rFonts w:ascii="Arial" w:hAnsi="Arial"/>
          <w:sz w:val="24"/>
          <w:szCs w:val="24"/>
        </w:rPr>
      </w:pPr>
      <w:r>
        <w:rPr>
          <w:rFonts w:cs="Times New Roman"/>
          <w:b w:val="false"/>
          <w:bCs w:val="false"/>
          <w:iCs/>
          <w:color w:val="auto"/>
          <w:sz w:val="24"/>
          <w:szCs w:val="24"/>
        </w:rPr>
        <w:t>5.3</w:t>
      </w:r>
      <w:r>
        <w:rPr>
          <w:rFonts w:cs="Times New Roman"/>
          <w:b/>
          <w:bCs/>
          <w:iCs/>
          <w:color w:val="auto"/>
          <w:sz w:val="24"/>
          <w:szCs w:val="24"/>
        </w:rPr>
        <w:t xml:space="preserve">. </w:t>
      </w:r>
      <w:r>
        <w:rPr>
          <w:rFonts w:cs="Times New Roman"/>
          <w:bCs/>
          <w:iCs/>
          <w:color w:val="auto"/>
          <w:sz w:val="24"/>
          <w:szCs w:val="24"/>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cs="Times New Roman"/>
          <w:iCs/>
          <w:color w:val="auto"/>
          <w:sz w:val="24"/>
          <w:szCs w:val="24"/>
        </w:rPr>
        <w:t>força</w:t>
      </w:r>
      <w:r>
        <w:rPr>
          <w:rFonts w:cs="Times New Roman"/>
          <w:bCs/>
          <w:iCs/>
          <w:color w:val="auto"/>
          <w:sz w:val="24"/>
          <w:szCs w:val="24"/>
        </w:rPr>
        <w:t xml:space="preserve"> maior.</w:t>
      </w:r>
    </w:p>
    <w:p>
      <w:pPr>
        <w:pStyle w:val="Nivel2"/>
        <w:spacing w:lineRule="auto" w:line="360" w:before="0" w:after="0"/>
        <w:ind w:hanging="0" w:left="0" w:right="0"/>
        <w:rPr>
          <w:rFonts w:ascii="Arial" w:hAnsi="Arial"/>
          <w:sz w:val="24"/>
          <w:szCs w:val="24"/>
        </w:rPr>
      </w:pPr>
      <w:r>
        <w:rPr>
          <w:rFonts w:cs="Times New Roman"/>
          <w:b w:val="false"/>
          <w:bCs w:val="false"/>
          <w:color w:val="auto"/>
          <w:sz w:val="24"/>
          <w:szCs w:val="24"/>
        </w:rPr>
        <w:t>5.4.</w:t>
      </w:r>
      <w:r>
        <w:rPr>
          <w:rFonts w:cs="Times New Roman"/>
          <w:bCs/>
          <w:color w:val="auto"/>
          <w:sz w:val="24"/>
          <w:szCs w:val="24"/>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360"/>
        <w:ind w:hanging="0" w:left="0" w:right="0"/>
        <w:jc w:val="both"/>
        <w:rPr>
          <w:rFonts w:ascii="Arial" w:hAnsi="Arial"/>
          <w:sz w:val="24"/>
          <w:szCs w:val="24"/>
        </w:rPr>
      </w:pPr>
      <w:r>
        <w:rPr>
          <w:rFonts w:ascii="Arial" w:hAnsi="Arial"/>
          <w:b w:val="false"/>
          <w:bCs w:val="false"/>
          <w:sz w:val="24"/>
          <w:szCs w:val="24"/>
        </w:rPr>
        <w:t>5.5.</w:t>
      </w:r>
      <w:r>
        <w:rPr>
          <w:rFonts w:ascii="Arial" w:hAnsi="Arial"/>
          <w:sz w:val="24"/>
          <w:szCs w:val="24"/>
        </w:rPr>
        <w:t xml:space="preserve"> A conferência </w:t>
      </w:r>
      <w:r>
        <w:rPr>
          <w:rFonts w:eastAsia="Times New Roman" w:cs="Times New Roman" w:ascii="Arial" w:hAnsi="Arial"/>
          <w:sz w:val="24"/>
          <w:szCs w:val="24"/>
        </w:rPr>
        <w:t>dos itens</w:t>
      </w:r>
      <w:r>
        <w:rPr>
          <w:rFonts w:ascii="Arial" w:hAnsi="Arial"/>
          <w:sz w:val="24"/>
          <w:szCs w:val="24"/>
        </w:rPr>
        <w:t xml:space="preserve"> deverá ser acompanhada por um servidor </w:t>
      </w:r>
      <w:r>
        <w:rPr>
          <w:rFonts w:eastAsia="Times New Roman" w:cs="Times New Roman" w:ascii="Arial" w:hAnsi="Arial"/>
          <w:sz w:val="24"/>
          <w:szCs w:val="24"/>
        </w:rPr>
        <w:t>da secretaria requisitante</w:t>
      </w:r>
      <w:r>
        <w:rPr>
          <w:rFonts w:ascii="Arial" w:hAnsi="Arial"/>
          <w:sz w:val="24"/>
          <w:szCs w:val="24"/>
        </w:rPr>
        <w:t>, a fim de zelar pela qualidade e quantidade dos itens a serem adquiridos.</w:t>
      </w:r>
    </w:p>
    <w:p>
      <w:pPr>
        <w:pStyle w:val="Nivel2"/>
        <w:spacing w:lineRule="auto" w:line="360" w:before="0" w:after="0"/>
        <w:ind w:hanging="0" w:left="0" w:right="0"/>
        <w:rPr>
          <w:rFonts w:ascii="Arial" w:hAnsi="Arial"/>
          <w:sz w:val="24"/>
          <w:szCs w:val="24"/>
        </w:rPr>
      </w:pPr>
      <w:r>
        <w:rPr>
          <w:rFonts w:cs="Times New Roman"/>
          <w:b w:val="false"/>
          <w:bCs w:val="false"/>
          <w:color w:val="auto"/>
          <w:sz w:val="24"/>
          <w:szCs w:val="24"/>
        </w:rPr>
        <w:t>5.6.</w:t>
      </w:r>
      <w:r>
        <w:rPr>
          <w:rFonts w:cs="Times New Roman"/>
          <w:bCs/>
          <w:color w:val="auto"/>
          <w:sz w:val="24"/>
          <w:szCs w:val="24"/>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360"/>
        <w:ind w:hanging="0" w:left="0" w:right="0"/>
        <w:jc w:val="both"/>
        <w:rPr>
          <w:rFonts w:ascii="Arial" w:hAnsi="Arial"/>
          <w:sz w:val="24"/>
          <w:szCs w:val="24"/>
        </w:rPr>
      </w:pPr>
      <w:r>
        <w:rPr>
          <w:rFonts w:ascii="Arial" w:hAnsi="Arial"/>
          <w:b w:val="false"/>
          <w:bCs w:val="false"/>
          <w:sz w:val="24"/>
          <w:szCs w:val="24"/>
        </w:rPr>
        <w:t>5.7.</w:t>
      </w:r>
      <w:r>
        <w:rPr>
          <w:rFonts w:ascii="Arial" w:hAnsi="Arial"/>
          <w:b/>
          <w:bCs/>
          <w:sz w:val="24"/>
          <w:szCs w:val="24"/>
        </w:rPr>
        <w:t xml:space="preserve"> </w:t>
      </w:r>
      <w:r>
        <w:rPr>
          <w:rFonts w:ascii="Arial" w:hAnsi="Arial"/>
          <w:sz w:val="24"/>
          <w:szCs w:val="24"/>
        </w:rPr>
        <w:t xml:space="preserve">O recebimento provisório ou definitivo não excluirá a responsabilidade </w:t>
      </w:r>
      <w:r>
        <w:rPr>
          <w:rFonts w:eastAsia="Times New Roman" w:cs="Times New Roman" w:ascii="Arial" w:hAnsi="Arial"/>
          <w:sz w:val="24"/>
          <w:szCs w:val="24"/>
        </w:rPr>
        <w:t>da contratada pelos prejuízos resultantes da incorreta execução do contrato.</w:t>
      </w:r>
    </w:p>
    <w:p>
      <w:pPr>
        <w:pStyle w:val="Nivel2"/>
        <w:spacing w:lineRule="auto" w:line="360" w:before="0" w:after="0"/>
        <w:ind w:hanging="0" w:left="0" w:right="0"/>
        <w:rPr>
          <w:rFonts w:ascii="Arial" w:hAnsi="Arial"/>
          <w:sz w:val="24"/>
          <w:szCs w:val="24"/>
        </w:rPr>
      </w:pPr>
      <w:r>
        <w:rPr>
          <w:rFonts w:cs="Times New Roman"/>
          <w:b w:val="false"/>
          <w:bCs w:val="false"/>
          <w:iCs/>
          <w:color w:val="auto"/>
          <w:sz w:val="24"/>
          <w:szCs w:val="24"/>
        </w:rPr>
        <w:t>5.8. No caso de recusa da entrega do produto pelo fornecedor, a Administração Pública adotará as providências cabíveis, de cordo com a legislação aplicável, visando sanar problemas por ventura ocorridos.</w:t>
      </w:r>
    </w:p>
    <w:p>
      <w:pPr>
        <w:pStyle w:val="Nivel2"/>
        <w:spacing w:lineRule="auto" w:line="360" w:before="0" w:after="0"/>
        <w:ind w:hanging="0" w:left="0" w:right="0"/>
        <w:rPr>
          <w:rFonts w:ascii="Arial" w:hAnsi="Arial"/>
          <w:sz w:val="24"/>
          <w:szCs w:val="24"/>
        </w:rPr>
      </w:pPr>
      <w:r>
        <w:rPr>
          <w:rFonts w:cs="Times New Roman"/>
          <w:b w:val="false"/>
          <w:bCs w:val="false"/>
          <w:iCs/>
          <w:color w:val="auto"/>
          <w:sz w:val="24"/>
          <w:szCs w:val="24"/>
        </w:rPr>
        <w:t>5.9. Não se verifica contratações correlatas ou interdependentes.</w:t>
      </w:r>
    </w:p>
    <w:p>
      <w:pPr>
        <w:pStyle w:val="Nivel2"/>
        <w:spacing w:lineRule="auto" w:line="240" w:before="0" w:after="0"/>
        <w:ind w:hanging="0" w:left="0" w:right="0"/>
        <w:rPr>
          <w:rFonts w:ascii="Arial" w:hAnsi="Arial" w:cs="Arial"/>
          <w:b/>
          <w:sz w:val="24"/>
          <w:szCs w:val="24"/>
          <w:u w:val="single"/>
        </w:rPr>
      </w:pPr>
      <w:r>
        <w:rPr>
          <w:rFonts w:cs="Arial"/>
          <w:b/>
          <w:sz w:val="24"/>
          <w:szCs w:val="24"/>
          <w:u w:val="single"/>
        </w:rPr>
      </w:r>
    </w:p>
    <w:p>
      <w:pPr>
        <w:pStyle w:val="Nivel1"/>
        <w:spacing w:lineRule="auto" w:line="360" w:before="0" w:after="0"/>
        <w:ind w:hanging="0" w:left="0" w:right="0"/>
        <w:rPr>
          <w:rFonts w:ascii="Arial" w:hAnsi="Arial"/>
          <w:sz w:val="24"/>
          <w:szCs w:val="24"/>
        </w:rPr>
      </w:pPr>
      <w:r>
        <w:rPr>
          <w:rFonts w:cs="Times New Roman"/>
          <w:sz w:val="24"/>
          <w:szCs w:val="24"/>
        </w:rPr>
        <w:t xml:space="preserve">6. MODELO DE GESTÃO DO CONTRATO </w:t>
      </w:r>
    </w:p>
    <w:p>
      <w:pPr>
        <w:pStyle w:val="Normal"/>
        <w:spacing w:lineRule="auto" w:line="360"/>
        <w:ind w:hanging="0" w:left="0" w:right="0"/>
        <w:jc w:val="both"/>
        <w:rPr>
          <w:rFonts w:ascii="Arial" w:hAnsi="Arial"/>
          <w:sz w:val="24"/>
          <w:szCs w:val="24"/>
        </w:rPr>
      </w:pPr>
      <w:r>
        <w:rPr>
          <w:rFonts w:ascii="Arial" w:hAnsi="Arial"/>
          <w:b/>
          <w:bCs/>
          <w:sz w:val="24"/>
          <w:szCs w:val="24"/>
        </w:rPr>
        <w:tab/>
        <w:t>6.1. Rotinas De Fiscalização Contratual</w:t>
      </w:r>
    </w:p>
    <w:p>
      <w:pPr>
        <w:pStyle w:val="Nivel2"/>
        <w:spacing w:lineRule="auto" w:line="360" w:before="0" w:after="0"/>
        <w:ind w:hanging="0" w:left="0" w:right="0"/>
        <w:rPr>
          <w:rFonts w:ascii="Arial" w:hAnsi="Arial"/>
          <w:sz w:val="24"/>
          <w:szCs w:val="24"/>
        </w:rPr>
      </w:pPr>
      <w:r>
        <w:rPr>
          <w:b w:val="false"/>
          <w:bCs w:val="false"/>
          <w:sz w:val="24"/>
          <w:szCs w:val="24"/>
        </w:rPr>
        <w:t xml:space="preserve">6.1.1. </w:t>
      </w:r>
      <w:r>
        <w:rPr>
          <w:rFonts w:cs="Times New Roman"/>
          <w:sz w:val="24"/>
          <w:szCs w:val="24"/>
        </w:rPr>
        <w:t>O contrato será substituído pela nota de empenho e autorização de fornecimento/execução.</w:t>
      </w:r>
    </w:p>
    <w:p>
      <w:pPr>
        <w:pStyle w:val="Normal"/>
        <w:spacing w:lineRule="auto" w:line="360"/>
        <w:ind w:hanging="0" w:left="0" w:right="0"/>
        <w:jc w:val="both"/>
        <w:rPr>
          <w:rFonts w:ascii="Arial" w:hAnsi="Arial"/>
          <w:sz w:val="24"/>
          <w:szCs w:val="24"/>
        </w:rPr>
      </w:pPr>
      <w:r>
        <w:rPr>
          <w:rFonts w:ascii="Arial" w:hAnsi="Arial"/>
          <w:b w:val="false"/>
          <w:bCs w:val="false"/>
          <w:sz w:val="24"/>
          <w:szCs w:val="24"/>
        </w:rPr>
        <w:t>6.1.2.</w:t>
      </w:r>
      <w:r>
        <w:rPr>
          <w:rFonts w:ascii="Arial" w:hAnsi="Arial"/>
          <w:sz w:val="24"/>
          <w:szCs w:val="24"/>
        </w:rPr>
        <w:t xml:space="preserve"> A entrega </w:t>
      </w:r>
      <w:r>
        <w:rPr>
          <w:rFonts w:eastAsia="Times New Roman" w:cs="Times New Roman" w:ascii="Arial" w:hAnsi="Arial"/>
          <w:sz w:val="24"/>
          <w:szCs w:val="24"/>
        </w:rPr>
        <w:t>do item</w:t>
      </w:r>
      <w:r>
        <w:rPr>
          <w:rFonts w:ascii="Arial" w:hAnsi="Arial"/>
          <w:sz w:val="24"/>
          <w:szCs w:val="24"/>
        </w:rPr>
        <w:t xml:space="preserve"> deverá ser acompanhada por um servidor </w:t>
      </w:r>
      <w:r>
        <w:rPr>
          <w:rFonts w:eastAsia="Times New Roman" w:cs="Times New Roman" w:ascii="Arial" w:hAnsi="Arial"/>
          <w:sz w:val="24"/>
          <w:szCs w:val="24"/>
        </w:rPr>
        <w:t>da secretaria requisitante</w:t>
      </w:r>
      <w:r>
        <w:rPr>
          <w:rFonts w:ascii="Arial" w:hAnsi="Arial"/>
          <w:sz w:val="24"/>
          <w:szCs w:val="24"/>
        </w:rPr>
        <w:t>, a fim de zelar pela qualidade e quantidade dos itens a serem adquiridos.</w:t>
      </w:r>
    </w:p>
    <w:p>
      <w:pPr>
        <w:pStyle w:val="Normal"/>
        <w:spacing w:lineRule="auto" w:line="360"/>
        <w:ind w:hanging="0" w:left="0" w:right="0"/>
        <w:jc w:val="both"/>
        <w:rPr>
          <w:rFonts w:ascii="Arial" w:hAnsi="Arial"/>
          <w:sz w:val="24"/>
          <w:szCs w:val="24"/>
        </w:rPr>
      </w:pPr>
      <w:r>
        <w:rPr>
          <w:rFonts w:ascii="Arial" w:hAnsi="Arial"/>
          <w:b w:val="false"/>
          <w:bCs w:val="false"/>
          <w:sz w:val="24"/>
          <w:szCs w:val="24"/>
        </w:rPr>
        <w:t>6.1.3.</w:t>
      </w:r>
      <w:r>
        <w:rPr>
          <w:rFonts w:ascii="Arial" w:hAnsi="Arial"/>
          <w:sz w:val="24"/>
          <w:szCs w:val="24"/>
        </w:rPr>
        <w:t xml:space="preserve"> 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Normal"/>
        <w:spacing w:lineRule="auto" w:line="360"/>
        <w:ind w:hanging="0" w:left="0" w:right="0"/>
        <w:jc w:val="both"/>
        <w:rPr>
          <w:rFonts w:ascii="Arial" w:hAnsi="Arial"/>
          <w:sz w:val="24"/>
          <w:szCs w:val="24"/>
        </w:rPr>
      </w:pPr>
      <w:r>
        <w:rPr>
          <w:rFonts w:ascii="Arial" w:hAnsi="Arial"/>
          <w:b w:val="false"/>
          <w:bCs w:val="false"/>
          <w:sz w:val="24"/>
          <w:szCs w:val="24"/>
        </w:rPr>
        <w:t>6.1.4.</w:t>
      </w:r>
      <w:r>
        <w:rPr>
          <w:rFonts w:ascii="Arial" w:hAnsi="Arial"/>
          <w:sz w:val="24"/>
          <w:szCs w:val="24"/>
        </w:rPr>
        <w:t xml:space="preserve"> Somente o contratado será responsável pelos encargos trabalhistas, previdenciários, fiscais e comerciais resultantes da execução dos serviços.</w:t>
      </w:r>
    </w:p>
    <w:p>
      <w:pPr>
        <w:pStyle w:val="Normal"/>
        <w:spacing w:lineRule="auto" w:line="360"/>
        <w:ind w:hanging="0" w:left="0" w:right="0"/>
        <w:jc w:val="both"/>
        <w:rPr>
          <w:rFonts w:ascii="Arial" w:hAnsi="Arial"/>
          <w:sz w:val="24"/>
          <w:szCs w:val="24"/>
        </w:rPr>
      </w:pPr>
      <w:r>
        <w:rPr>
          <w:rFonts w:ascii="Arial" w:hAnsi="Arial"/>
          <w:b w:val="false"/>
          <w:bCs w:val="false"/>
          <w:sz w:val="24"/>
          <w:szCs w:val="24"/>
        </w:rPr>
        <w:t>6.1.5.</w:t>
      </w:r>
      <w:r>
        <w:rPr>
          <w:rFonts w:ascii="Arial" w:hAnsi="Arial"/>
          <w:sz w:val="24"/>
          <w:szCs w:val="24"/>
        </w:rPr>
        <w:t xml:space="preserve"> A inadimplência do contratado em relação aos encargos trabalhistas, fiscais e comerciais não transferirá à Administração a responsabilidade pelo seu pagamento e não poderá onerar o objeto do contrato.</w:t>
      </w:r>
    </w:p>
    <w:p>
      <w:pPr>
        <w:pStyle w:val="Nivel2"/>
        <w:spacing w:lineRule="auto" w:line="360" w:before="0" w:after="0"/>
        <w:rPr>
          <w:rFonts w:ascii="Arial" w:hAnsi="Arial"/>
          <w:sz w:val="24"/>
          <w:szCs w:val="24"/>
        </w:rPr>
      </w:pPr>
      <w:r>
        <w:rPr>
          <w:rFonts w:cs="Times New Roman"/>
          <w:b w:val="false"/>
          <w:bCs w:val="false"/>
          <w:sz w:val="24"/>
          <w:szCs w:val="24"/>
        </w:rPr>
        <w:t>6.1.6.</w:t>
      </w:r>
      <w:r>
        <w:rPr>
          <w:rFonts w:cs="Times New Roman"/>
          <w:sz w:val="24"/>
          <w:szCs w:val="24"/>
        </w:rPr>
        <w:t xml:space="preserve">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Nivel2"/>
        <w:spacing w:lineRule="auto" w:line="240" w:before="0" w:after="0"/>
        <w:rPr>
          <w:rFonts w:ascii="Arial" w:hAnsi="Arial"/>
          <w:sz w:val="24"/>
          <w:szCs w:val="24"/>
        </w:rPr>
      </w:pPr>
      <w:r>
        <w:rPr>
          <w:rFonts w:cs="Times New Roman"/>
          <w:b/>
          <w:bCs/>
          <w:iCs/>
          <w:sz w:val="24"/>
          <w:szCs w:val="24"/>
          <w:u w:val="none"/>
        </w:rPr>
        <w:tab/>
      </w:r>
    </w:p>
    <w:p>
      <w:pPr>
        <w:pStyle w:val="Nivel1"/>
        <w:spacing w:lineRule="auto" w:line="360" w:before="0" w:after="0"/>
        <w:ind w:hanging="0" w:left="0" w:right="0"/>
        <w:rPr>
          <w:rFonts w:ascii="Arial" w:hAnsi="Arial"/>
          <w:sz w:val="24"/>
          <w:szCs w:val="24"/>
        </w:rPr>
      </w:pPr>
      <w:r>
        <w:rPr>
          <w:rFonts w:cs="Times New Roman"/>
          <w:iCs/>
          <w:color w:val="auto"/>
          <w:sz w:val="24"/>
          <w:szCs w:val="24"/>
        </w:rPr>
        <w:t xml:space="preserve">7. FORMA E CRITÉRIOS DE SELEÇÃO DO FORNECEDOR MEDIANTE O USO DO SISTEMA DE DISPENSA ELETRÔNICA </w:t>
      </w:r>
    </w:p>
    <w:p>
      <w:pPr>
        <w:pStyle w:val="Normal"/>
        <w:spacing w:lineRule="auto" w:line="360"/>
        <w:ind w:hanging="0" w:left="0" w:right="0"/>
        <w:jc w:val="both"/>
        <w:rPr>
          <w:rFonts w:ascii="Arial" w:hAnsi="Arial"/>
          <w:sz w:val="24"/>
          <w:szCs w:val="24"/>
        </w:rPr>
      </w:pPr>
      <w:r>
        <w:rPr>
          <w:rFonts w:ascii="Arial" w:hAnsi="Arial"/>
          <w:b w:val="false"/>
          <w:bCs w:val="false"/>
          <w:sz w:val="24"/>
          <w:szCs w:val="24"/>
        </w:rPr>
        <w:t>7.1.</w:t>
      </w:r>
      <w:r>
        <w:rPr>
          <w:rFonts w:ascii="Arial" w:hAnsi="Arial"/>
          <w:sz w:val="24"/>
          <w:szCs w:val="24"/>
        </w:rPr>
        <w:t xml:space="preserve"> O fornecedor será selecionado por meio da realização de procedimento de licitação, </w:t>
      </w:r>
      <w:r>
        <w:rPr>
          <w:rFonts w:ascii="Arial" w:hAnsi="Arial"/>
          <w:iCs/>
          <w:sz w:val="24"/>
          <w:szCs w:val="24"/>
        </w:rPr>
        <w:t>que culminará com a seleção da proposta de menor preço por item.</w:t>
      </w:r>
    </w:p>
    <w:p>
      <w:pPr>
        <w:pStyle w:val="Normal"/>
        <w:spacing w:lineRule="auto" w:line="240"/>
        <w:ind w:hanging="0" w:left="0" w:right="0"/>
        <w:jc w:val="both"/>
        <w:rPr>
          <w:rFonts w:ascii="Arial" w:hAnsi="Arial" w:cs="Arial"/>
          <w:b/>
          <w:sz w:val="24"/>
          <w:szCs w:val="24"/>
          <w:u w:val="single"/>
        </w:rPr>
      </w:pPr>
      <w:r>
        <w:rPr>
          <w:rFonts w:cs="Arial" w:ascii="Arial" w:hAnsi="Arial"/>
          <w:b/>
          <w:sz w:val="24"/>
          <w:szCs w:val="24"/>
          <w:u w:val="single"/>
        </w:rPr>
      </w:r>
    </w:p>
    <w:p>
      <w:pPr>
        <w:pStyle w:val="Normal"/>
        <w:spacing w:lineRule="auto" w:line="360"/>
        <w:ind w:hanging="0" w:left="0" w:right="0"/>
        <w:jc w:val="both"/>
        <w:rPr>
          <w:rFonts w:ascii="Arial" w:hAnsi="Arial"/>
          <w:sz w:val="24"/>
          <w:szCs w:val="24"/>
        </w:rPr>
      </w:pPr>
      <w:r>
        <w:rPr>
          <w:rFonts w:ascii="Arial" w:hAnsi="Arial"/>
          <w:b/>
          <w:bCs/>
          <w:iCs/>
          <w:sz w:val="24"/>
          <w:szCs w:val="24"/>
        </w:rPr>
        <w:t>8. DAS SANÇÕES</w:t>
      </w:r>
    </w:p>
    <w:p>
      <w:pPr>
        <w:pStyle w:val="Normal"/>
        <w:spacing w:lineRule="auto" w:line="360"/>
        <w:ind w:hanging="0" w:left="0" w:right="0"/>
        <w:jc w:val="both"/>
        <w:rPr>
          <w:rFonts w:ascii="Arial" w:hAnsi="Arial"/>
          <w:sz w:val="24"/>
          <w:szCs w:val="24"/>
        </w:rPr>
      </w:pPr>
      <w:r>
        <w:rPr>
          <w:rFonts w:ascii="Arial" w:hAnsi="Arial"/>
          <w:iCs/>
          <w:sz w:val="24"/>
          <w:szCs w:val="24"/>
        </w:rPr>
        <w:t>8.1. Comete infração administrativa o fornecedor/prestador de serviço que cometer quaisquer das infrações previstas no art. 155 da Lei nº 14.133, de 2021, quais sejam:</w:t>
      </w:r>
    </w:p>
    <w:p>
      <w:pPr>
        <w:pStyle w:val="Normal"/>
        <w:spacing w:lineRule="auto" w:line="360"/>
        <w:ind w:hanging="0" w:left="0" w:right="0"/>
        <w:jc w:val="both"/>
        <w:rPr>
          <w:rFonts w:ascii="Arial" w:hAnsi="Arial"/>
          <w:sz w:val="24"/>
          <w:szCs w:val="24"/>
        </w:rPr>
      </w:pPr>
      <w:r>
        <w:rPr>
          <w:rFonts w:ascii="Arial" w:hAnsi="Arial"/>
          <w:iCs/>
          <w:sz w:val="24"/>
          <w:szCs w:val="24"/>
        </w:rPr>
        <w:t>8.1.1. Dar causa à inexecução parcial do contrato.</w:t>
      </w:r>
    </w:p>
    <w:p>
      <w:pPr>
        <w:pStyle w:val="Normal"/>
        <w:spacing w:lineRule="auto" w:line="360"/>
        <w:ind w:hanging="0" w:left="0" w:right="0"/>
        <w:jc w:val="both"/>
        <w:rPr>
          <w:rFonts w:ascii="Arial" w:hAnsi="Arial"/>
          <w:sz w:val="24"/>
          <w:szCs w:val="24"/>
        </w:rPr>
      </w:pPr>
      <w:r>
        <w:rPr>
          <w:rFonts w:ascii="Arial" w:hAnsi="Arial"/>
          <w:iCs/>
          <w:sz w:val="24"/>
          <w:szCs w:val="24"/>
        </w:rPr>
        <w:t>8.1.2. Dar causa à inexecução parcial que cause grave dano à Administração, ao funcionamento dos serviços públicos ou ao interesse coletivo.</w:t>
      </w:r>
    </w:p>
    <w:p>
      <w:pPr>
        <w:pStyle w:val="Normal"/>
        <w:spacing w:lineRule="auto" w:line="360"/>
        <w:ind w:hanging="0" w:left="0" w:right="0"/>
        <w:jc w:val="both"/>
        <w:rPr>
          <w:rFonts w:ascii="Arial" w:hAnsi="Arial"/>
          <w:sz w:val="24"/>
          <w:szCs w:val="24"/>
        </w:rPr>
      </w:pPr>
      <w:r>
        <w:rPr>
          <w:rFonts w:ascii="Arial" w:hAnsi="Arial"/>
          <w:iCs/>
          <w:sz w:val="24"/>
          <w:szCs w:val="24"/>
        </w:rPr>
        <w:t>8.1.3. Dar causa à inexecução total;</w:t>
      </w:r>
    </w:p>
    <w:p>
      <w:pPr>
        <w:pStyle w:val="Normal"/>
        <w:spacing w:lineRule="auto" w:line="360"/>
        <w:ind w:hanging="0" w:left="0" w:right="0"/>
        <w:jc w:val="both"/>
        <w:rPr>
          <w:rFonts w:ascii="Arial" w:hAnsi="Arial"/>
          <w:sz w:val="24"/>
          <w:szCs w:val="24"/>
        </w:rPr>
      </w:pPr>
      <w:r>
        <w:rPr>
          <w:rFonts w:ascii="Arial" w:hAnsi="Arial"/>
          <w:iCs/>
          <w:sz w:val="24"/>
          <w:szCs w:val="24"/>
        </w:rPr>
        <w:t>8.1.4. Deixar de entregar a documentação exigida para o certame.</w:t>
      </w:r>
    </w:p>
    <w:p>
      <w:pPr>
        <w:pStyle w:val="Normal"/>
        <w:spacing w:lineRule="auto" w:line="360"/>
        <w:ind w:hanging="0" w:left="0" w:right="0"/>
        <w:jc w:val="both"/>
        <w:rPr>
          <w:rFonts w:ascii="Arial" w:hAnsi="Arial"/>
          <w:sz w:val="24"/>
          <w:szCs w:val="24"/>
        </w:rPr>
      </w:pPr>
      <w:r>
        <w:rPr>
          <w:rFonts w:ascii="Arial" w:hAnsi="Arial"/>
          <w:iCs/>
          <w:sz w:val="24"/>
          <w:szCs w:val="24"/>
        </w:rPr>
        <w:t>8.1.5. Não manter a proposta, salvo em decorrência de fato superveniente devidamente justificado.</w:t>
      </w:r>
    </w:p>
    <w:p>
      <w:pPr>
        <w:pStyle w:val="Normal"/>
        <w:spacing w:lineRule="auto" w:line="360"/>
        <w:ind w:hanging="0" w:left="0" w:right="0"/>
        <w:jc w:val="both"/>
        <w:rPr>
          <w:rFonts w:ascii="Arial" w:hAnsi="Arial"/>
          <w:sz w:val="24"/>
          <w:szCs w:val="24"/>
        </w:rPr>
      </w:pPr>
      <w:r>
        <w:rPr>
          <w:rFonts w:ascii="Arial" w:hAnsi="Arial"/>
          <w:iCs/>
          <w:sz w:val="24"/>
          <w:szCs w:val="24"/>
        </w:rPr>
        <w:t xml:space="preserve">8.1.6. Não celebrar o contrato ou não entregar a documentação exigida para a contratação, quando convocado dentro do prazo de validade de sua proposta. </w:t>
      </w:r>
    </w:p>
    <w:p>
      <w:pPr>
        <w:pStyle w:val="Normal"/>
        <w:spacing w:lineRule="auto" w:line="360"/>
        <w:ind w:hanging="0" w:left="0" w:right="0"/>
        <w:jc w:val="both"/>
        <w:rPr>
          <w:rFonts w:ascii="Arial" w:hAnsi="Arial"/>
          <w:sz w:val="24"/>
          <w:szCs w:val="24"/>
        </w:rPr>
      </w:pPr>
      <w:r>
        <w:rPr>
          <w:rFonts w:ascii="Arial" w:hAnsi="Arial"/>
          <w:iCs/>
          <w:sz w:val="24"/>
          <w:szCs w:val="24"/>
        </w:rPr>
        <w:t>8.1.7. Ensejar o retardamento da execução ou da entrega do objeto sem motivo justificado,</w:t>
      </w:r>
    </w:p>
    <w:p>
      <w:pPr>
        <w:pStyle w:val="Normal"/>
        <w:spacing w:lineRule="auto" w:line="360"/>
        <w:ind w:hanging="0" w:left="0" w:right="0"/>
        <w:jc w:val="both"/>
        <w:rPr>
          <w:rFonts w:ascii="Arial" w:hAnsi="Arial"/>
          <w:sz w:val="24"/>
          <w:szCs w:val="24"/>
        </w:rPr>
      </w:pPr>
      <w:r>
        <w:rPr>
          <w:rFonts w:ascii="Arial" w:hAnsi="Arial"/>
          <w:iCs/>
          <w:sz w:val="24"/>
          <w:szCs w:val="24"/>
        </w:rPr>
        <w:t>8.1.8. Apresentar declaração ou documentação falsa exigida para o certame ou prestar declaração falsa durante a dispensa eletrônica ou a execução do objeto.</w:t>
      </w:r>
    </w:p>
    <w:p>
      <w:pPr>
        <w:pStyle w:val="Normal"/>
        <w:spacing w:lineRule="auto" w:line="360"/>
        <w:ind w:hanging="0" w:left="0" w:right="0"/>
        <w:jc w:val="both"/>
        <w:rPr>
          <w:rFonts w:ascii="Arial" w:hAnsi="Arial"/>
          <w:sz w:val="24"/>
          <w:szCs w:val="24"/>
        </w:rPr>
      </w:pPr>
      <w:r>
        <w:rPr>
          <w:rFonts w:ascii="Arial" w:hAnsi="Arial"/>
          <w:iCs/>
          <w:sz w:val="24"/>
          <w:szCs w:val="24"/>
        </w:rPr>
        <w:t>8.1.9. Fraudar a dispensa eletrônica ou praticar ato fraudulento na execução do objeto.</w:t>
      </w:r>
    </w:p>
    <w:p>
      <w:pPr>
        <w:pStyle w:val="Normal"/>
        <w:spacing w:lineRule="auto" w:line="360"/>
        <w:ind w:hanging="0" w:left="0" w:right="0"/>
        <w:jc w:val="both"/>
        <w:rPr>
          <w:rFonts w:ascii="Arial" w:hAnsi="Arial"/>
          <w:sz w:val="24"/>
          <w:szCs w:val="24"/>
        </w:rPr>
      </w:pPr>
      <w:r>
        <w:rPr>
          <w:rFonts w:ascii="Arial" w:hAnsi="Arial"/>
          <w:iCs/>
          <w:sz w:val="24"/>
          <w:szCs w:val="24"/>
        </w:rPr>
        <w:t>8.1.10. Comportar-se de modo inidôneo ou cometer fraude de qualquer natureza.</w:t>
      </w:r>
    </w:p>
    <w:p>
      <w:pPr>
        <w:pStyle w:val="Normal"/>
        <w:spacing w:lineRule="auto" w:line="360"/>
        <w:ind w:hanging="0" w:left="0" w:right="0"/>
        <w:jc w:val="both"/>
        <w:rPr>
          <w:rFonts w:ascii="Arial" w:hAnsi="Arial"/>
          <w:sz w:val="24"/>
          <w:szCs w:val="24"/>
        </w:rPr>
      </w:pPr>
      <w:r>
        <w:rPr>
          <w:rFonts w:ascii="Arial" w:hAnsi="Arial"/>
          <w:iCs/>
          <w:sz w:val="24"/>
          <w:szCs w:val="24"/>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360"/>
        <w:ind w:hanging="0" w:left="0" w:right="0"/>
        <w:jc w:val="both"/>
        <w:rPr>
          <w:rFonts w:ascii="Arial" w:hAnsi="Arial"/>
          <w:sz w:val="24"/>
          <w:szCs w:val="24"/>
        </w:rPr>
      </w:pPr>
      <w:r>
        <w:rPr>
          <w:rFonts w:ascii="Arial" w:hAnsi="Arial"/>
          <w:iCs/>
          <w:sz w:val="24"/>
          <w:szCs w:val="24"/>
        </w:rPr>
        <w:t>8.1.11. Praticar atos ilícitos com vistas a frustrar os objetivos deste certame.</w:t>
      </w:r>
    </w:p>
    <w:p>
      <w:pPr>
        <w:pStyle w:val="Normal"/>
        <w:spacing w:lineRule="auto" w:line="360"/>
        <w:ind w:hanging="0" w:left="0" w:right="0"/>
        <w:jc w:val="both"/>
        <w:rPr>
          <w:rFonts w:ascii="Arial" w:hAnsi="Arial"/>
          <w:sz w:val="24"/>
          <w:szCs w:val="24"/>
        </w:rPr>
      </w:pPr>
      <w:r>
        <w:rPr>
          <w:rFonts w:ascii="Arial" w:hAnsi="Arial"/>
          <w:iCs/>
          <w:sz w:val="24"/>
          <w:szCs w:val="24"/>
        </w:rPr>
        <w:t>8.1.12. Praticar ato lesivo previsto no art. 5º da Lei nº 12.846, de 1º de agosto de 2013.</w:t>
      </w:r>
    </w:p>
    <w:p>
      <w:pPr>
        <w:pStyle w:val="Normal"/>
        <w:spacing w:lineRule="auto" w:line="360"/>
        <w:ind w:hanging="0" w:left="0" w:right="0"/>
        <w:jc w:val="both"/>
        <w:rPr>
          <w:rFonts w:ascii="Arial" w:hAnsi="Arial"/>
          <w:sz w:val="24"/>
          <w:szCs w:val="24"/>
        </w:rPr>
      </w:pPr>
      <w:r>
        <w:rPr>
          <w:rFonts w:ascii="Arial" w:hAnsi="Arial"/>
          <w:iCs/>
          <w:sz w:val="24"/>
          <w:szCs w:val="24"/>
        </w:rPr>
        <w:t>8.2. O fornecedor que cometer qualquer das infrações discriminadas nos subitens anteriores ficará sujeito, sem prejuízo da responsabilidade civil e criminal, às seguintes sanções:</w:t>
      </w:r>
    </w:p>
    <w:p>
      <w:pPr>
        <w:pStyle w:val="Normal"/>
        <w:spacing w:lineRule="auto" w:line="360"/>
        <w:ind w:hanging="0" w:left="0" w:right="0"/>
        <w:jc w:val="both"/>
        <w:rPr>
          <w:rFonts w:ascii="Arial" w:hAnsi="Arial"/>
          <w:sz w:val="24"/>
          <w:szCs w:val="24"/>
        </w:rPr>
      </w:pPr>
      <w:r>
        <w:rPr>
          <w:rFonts w:ascii="Arial" w:hAnsi="Arial"/>
          <w:iCs/>
          <w:sz w:val="24"/>
          <w:szCs w:val="24"/>
        </w:rPr>
        <w:t xml:space="preserve">         </w:t>
      </w:r>
      <w:r>
        <w:rPr>
          <w:rFonts w:ascii="Arial" w:hAnsi="Arial"/>
          <w:iCs/>
          <w:sz w:val="24"/>
          <w:szCs w:val="24"/>
        </w:rPr>
        <w:t>a) Advertência pela falta do subitem 8.1.1 deste Termo de Referência, quando não se justificar a imposição de penalidade mais grave.</w:t>
      </w:r>
    </w:p>
    <w:p>
      <w:pPr>
        <w:pStyle w:val="Normal"/>
        <w:spacing w:lineRule="auto" w:line="360"/>
        <w:ind w:hanging="0" w:left="-57" w:right="0"/>
        <w:jc w:val="both"/>
        <w:rPr>
          <w:rFonts w:ascii="Arial" w:hAnsi="Arial"/>
          <w:sz w:val="24"/>
          <w:szCs w:val="24"/>
        </w:rPr>
      </w:pPr>
      <w:r>
        <w:rPr>
          <w:rFonts w:ascii="Arial" w:hAnsi="Arial"/>
          <w:iCs/>
          <w:sz w:val="24"/>
          <w:szCs w:val="24"/>
        </w:rPr>
        <w:t xml:space="preserve">            </w:t>
      </w:r>
      <w:r>
        <w:rPr>
          <w:rFonts w:ascii="Arial" w:hAnsi="Arial"/>
          <w:iCs/>
          <w:sz w:val="24"/>
          <w:szCs w:val="24"/>
        </w:rPr>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pPr>
        <w:pStyle w:val="Normal"/>
        <w:spacing w:lineRule="auto" w:line="240"/>
        <w:ind w:hanging="0" w:left="0" w:right="0"/>
        <w:jc w:val="both"/>
        <w:rPr>
          <w:rFonts w:ascii="Arial" w:hAnsi="Arial"/>
          <w:sz w:val="24"/>
          <w:szCs w:val="24"/>
        </w:rPr>
      </w:pPr>
      <w:r>
        <w:rPr>
          <w:rFonts w:ascii="Arial" w:hAnsi="Arial"/>
          <w:iCs/>
          <w:sz w:val="24"/>
          <w:szCs w:val="24"/>
        </w:rPr>
        <w:t xml:space="preserve">                    </w:t>
      </w:r>
      <w:r>
        <w:rPr>
          <w:rFonts w:ascii="Arial" w:hAnsi="Arial"/>
          <w:iCs/>
          <w:sz w:val="24"/>
          <w:szCs w:val="24"/>
        </w:rPr>
        <w:t>b.1) O valor da multa poderá ser descontado das faturas devidas à CONTRATADA;</w:t>
      </w:r>
    </w:p>
    <w:p>
      <w:pPr>
        <w:pStyle w:val="Normal"/>
        <w:spacing w:lineRule="auto" w:line="360"/>
        <w:ind w:hanging="0" w:left="0" w:right="0"/>
        <w:jc w:val="both"/>
        <w:rPr>
          <w:rFonts w:ascii="Arial" w:hAnsi="Arial"/>
          <w:sz w:val="24"/>
          <w:szCs w:val="24"/>
        </w:rPr>
      </w:pPr>
      <w:r>
        <w:rPr>
          <w:rFonts w:ascii="Arial" w:hAnsi="Arial"/>
          <w:iCs/>
          <w:sz w:val="24"/>
          <w:szCs w:val="24"/>
        </w:rPr>
        <w:t xml:space="preserve">                     </w:t>
      </w:r>
      <w:r>
        <w:rPr>
          <w:rFonts w:ascii="Arial" w:hAnsi="Arial"/>
          <w:iCs/>
          <w:sz w:val="24"/>
          <w:szCs w:val="24"/>
        </w:rPr>
        <w:t xml:space="preserve">b.2) A multa pode ser aplicada isoladamente ou juntamente com as penalidades definidas nos itens “c” e “d” abaixo: </w:t>
      </w:r>
    </w:p>
    <w:p>
      <w:pPr>
        <w:pStyle w:val="Normal"/>
        <w:spacing w:lineRule="auto" w:line="360"/>
        <w:ind w:hanging="0" w:left="0" w:right="0"/>
        <w:jc w:val="both"/>
        <w:rPr>
          <w:rFonts w:ascii="Arial" w:hAnsi="Arial"/>
          <w:sz w:val="24"/>
          <w:szCs w:val="24"/>
        </w:rPr>
      </w:pPr>
      <w:r>
        <w:rPr>
          <w:rFonts w:ascii="Arial" w:hAnsi="Arial"/>
          <w:iCs/>
          <w:sz w:val="24"/>
          <w:szCs w:val="24"/>
        </w:rPr>
        <w:t xml:space="preserve">       </w:t>
      </w:r>
      <w:r>
        <w:rPr>
          <w:rFonts w:ascii="Arial" w:hAnsi="Arial"/>
          <w:iCs/>
          <w:sz w:val="24"/>
          <w:szCs w:val="24"/>
        </w:rPr>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pPr>
        <w:pStyle w:val="Normal"/>
        <w:spacing w:lineRule="auto" w:line="360"/>
        <w:ind w:hanging="0" w:left="0" w:right="0"/>
        <w:jc w:val="both"/>
        <w:rPr>
          <w:rFonts w:ascii="Arial" w:hAnsi="Arial"/>
          <w:sz w:val="24"/>
          <w:szCs w:val="24"/>
        </w:rPr>
      </w:pPr>
      <w:r>
        <w:rPr>
          <w:rFonts w:ascii="Arial" w:hAnsi="Arial"/>
          <w:iCs/>
          <w:sz w:val="24"/>
          <w:szCs w:val="24"/>
        </w:rPr>
        <w:t xml:space="preserve">        </w:t>
      </w:r>
      <w:r>
        <w:rPr>
          <w:rFonts w:ascii="Arial" w:hAnsi="Arial"/>
          <w:iCs/>
          <w:sz w:val="24"/>
          <w:szCs w:val="24"/>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pPr>
        <w:pStyle w:val="Normal"/>
        <w:spacing w:lineRule="auto" w:line="360"/>
        <w:ind w:hanging="0" w:left="0" w:right="0"/>
        <w:jc w:val="both"/>
        <w:rPr>
          <w:rFonts w:ascii="Arial" w:hAnsi="Arial"/>
          <w:sz w:val="24"/>
          <w:szCs w:val="24"/>
        </w:rPr>
      </w:pPr>
      <w:r>
        <w:rPr>
          <w:rFonts w:ascii="Arial" w:hAnsi="Arial"/>
          <w:iCs/>
          <w:sz w:val="24"/>
          <w:szCs w:val="24"/>
        </w:rPr>
        <w:t>8.3. Na aplicação das sanções serão considerados:</w:t>
      </w:r>
    </w:p>
    <w:p>
      <w:pPr>
        <w:pStyle w:val="Normal"/>
        <w:spacing w:lineRule="auto" w:line="360"/>
        <w:ind w:hanging="0" w:left="0" w:right="0"/>
        <w:jc w:val="both"/>
        <w:rPr>
          <w:rFonts w:ascii="Arial" w:hAnsi="Arial"/>
          <w:sz w:val="24"/>
          <w:szCs w:val="24"/>
        </w:rPr>
      </w:pPr>
      <w:r>
        <w:rPr>
          <w:rFonts w:ascii="Arial" w:hAnsi="Arial"/>
          <w:iCs/>
          <w:sz w:val="24"/>
          <w:szCs w:val="24"/>
        </w:rPr>
        <w:t>8.3.1. A natureza e a gravidade da infração cometida.</w:t>
      </w:r>
    </w:p>
    <w:p>
      <w:pPr>
        <w:pStyle w:val="Normal"/>
        <w:spacing w:lineRule="auto" w:line="360"/>
        <w:ind w:hanging="0" w:left="0" w:right="0"/>
        <w:jc w:val="both"/>
        <w:rPr>
          <w:rFonts w:ascii="Arial" w:hAnsi="Arial"/>
          <w:sz w:val="24"/>
          <w:szCs w:val="24"/>
        </w:rPr>
      </w:pPr>
      <w:r>
        <w:rPr>
          <w:rFonts w:ascii="Arial" w:hAnsi="Arial"/>
          <w:iCs/>
          <w:sz w:val="24"/>
          <w:szCs w:val="24"/>
        </w:rPr>
        <w:t>8.3.2. As peculiaridades do caso concreto.</w:t>
      </w:r>
    </w:p>
    <w:p>
      <w:pPr>
        <w:pStyle w:val="Normal"/>
        <w:spacing w:lineRule="auto" w:line="360"/>
        <w:ind w:hanging="0" w:left="0" w:right="0"/>
        <w:jc w:val="both"/>
        <w:rPr>
          <w:rFonts w:ascii="Arial" w:hAnsi="Arial"/>
          <w:sz w:val="24"/>
          <w:szCs w:val="24"/>
        </w:rPr>
      </w:pPr>
      <w:r>
        <w:rPr>
          <w:rFonts w:ascii="Arial" w:hAnsi="Arial"/>
          <w:iCs/>
          <w:sz w:val="24"/>
          <w:szCs w:val="24"/>
        </w:rPr>
        <w:t>8.3.3. As circunstâncias agravantes ou atenuantes.</w:t>
      </w:r>
    </w:p>
    <w:p>
      <w:pPr>
        <w:pStyle w:val="Normal"/>
        <w:spacing w:lineRule="auto" w:line="360"/>
        <w:ind w:hanging="0" w:left="0" w:right="0"/>
        <w:jc w:val="both"/>
        <w:rPr>
          <w:rFonts w:ascii="Arial" w:hAnsi="Arial"/>
          <w:sz w:val="24"/>
          <w:szCs w:val="24"/>
        </w:rPr>
      </w:pPr>
      <w:r>
        <w:rPr>
          <w:rFonts w:ascii="Arial" w:hAnsi="Arial"/>
          <w:iCs/>
          <w:sz w:val="24"/>
          <w:szCs w:val="24"/>
        </w:rPr>
        <w:t>8.3.4. Os danos que dela provierem para a Administração Pública.</w:t>
      </w:r>
    </w:p>
    <w:p>
      <w:pPr>
        <w:pStyle w:val="Normal"/>
        <w:spacing w:lineRule="auto" w:line="360"/>
        <w:ind w:hanging="0" w:left="0" w:right="0"/>
        <w:jc w:val="both"/>
        <w:rPr>
          <w:rFonts w:ascii="Arial" w:hAnsi="Arial"/>
          <w:sz w:val="24"/>
          <w:szCs w:val="24"/>
        </w:rPr>
      </w:pPr>
      <w:r>
        <w:rPr>
          <w:rFonts w:ascii="Arial" w:hAnsi="Arial"/>
          <w:iCs/>
          <w:sz w:val="24"/>
          <w:szCs w:val="24"/>
        </w:rPr>
        <w:t>8.3.5. A implantação ou o aperfeiçoamento de programa de integridade, conforme normas e orientações dos órgãos de controle.</w:t>
      </w:r>
    </w:p>
    <w:p>
      <w:pPr>
        <w:pStyle w:val="Normal"/>
        <w:spacing w:lineRule="auto" w:line="360"/>
        <w:ind w:hanging="0" w:left="0" w:right="0"/>
        <w:jc w:val="both"/>
        <w:rPr>
          <w:rFonts w:ascii="Arial" w:hAnsi="Arial"/>
          <w:sz w:val="24"/>
          <w:szCs w:val="24"/>
        </w:rPr>
      </w:pPr>
      <w:r>
        <w:rPr>
          <w:rFonts w:ascii="Arial" w:hAnsi="Arial"/>
          <w:iCs/>
          <w:sz w:val="24"/>
          <w:szCs w:val="24"/>
        </w:rPr>
        <w:t>8.4.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360"/>
        <w:ind w:hanging="0" w:left="0" w:right="0"/>
        <w:jc w:val="both"/>
        <w:rPr>
          <w:rFonts w:ascii="Arial" w:hAnsi="Arial"/>
          <w:sz w:val="24"/>
          <w:szCs w:val="24"/>
        </w:rPr>
      </w:pPr>
      <w:r>
        <w:rPr>
          <w:rFonts w:ascii="Arial" w:hAnsi="Arial"/>
          <w:iCs/>
          <w:sz w:val="24"/>
          <w:szCs w:val="24"/>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hanging="0" w:left="0" w:right="0"/>
        <w:jc w:val="both"/>
        <w:rPr>
          <w:rFonts w:ascii="Arial" w:hAnsi="Arial" w:cs="Arial"/>
          <w:b/>
          <w:sz w:val="24"/>
          <w:szCs w:val="24"/>
          <w:u w:val="single"/>
        </w:rPr>
      </w:pPr>
      <w:r>
        <w:rPr>
          <w:rFonts w:cs="Arial" w:ascii="Arial" w:hAnsi="Arial"/>
          <w:b/>
          <w:sz w:val="24"/>
          <w:szCs w:val="24"/>
          <w:u w:val="single"/>
        </w:rPr>
      </w:r>
    </w:p>
    <w:p>
      <w:pPr>
        <w:pStyle w:val="Normal"/>
        <w:spacing w:lineRule="auto" w:line="360"/>
        <w:ind w:hanging="0" w:left="0" w:right="0"/>
        <w:jc w:val="both"/>
        <w:rPr>
          <w:rFonts w:ascii="Arial" w:hAnsi="Arial"/>
          <w:sz w:val="24"/>
          <w:szCs w:val="24"/>
        </w:rPr>
      </w:pPr>
      <w:r>
        <w:rPr>
          <w:rFonts w:ascii="Arial" w:hAnsi="Arial"/>
          <w:b/>
          <w:bCs/>
          <w:sz w:val="24"/>
          <w:szCs w:val="24"/>
        </w:rPr>
        <w:t>9. CRITÉRIOS DE PAGAMENTO</w:t>
      </w:r>
    </w:p>
    <w:p>
      <w:pPr>
        <w:pStyle w:val="Normal"/>
        <w:spacing w:lineRule="auto" w:line="360"/>
        <w:ind w:hanging="0" w:left="0" w:right="0"/>
        <w:jc w:val="both"/>
        <w:rPr>
          <w:rFonts w:ascii="Arial" w:hAnsi="Arial"/>
          <w:sz w:val="24"/>
          <w:szCs w:val="24"/>
        </w:rPr>
      </w:pPr>
      <w:r>
        <w:rPr>
          <w:rFonts w:ascii="Arial" w:hAnsi="Arial"/>
          <w:b w:val="false"/>
          <w:bCs w:val="false"/>
          <w:sz w:val="24"/>
          <w:szCs w:val="24"/>
          <w:lang w:eastAsia="en-US"/>
        </w:rPr>
        <w:t xml:space="preserve">9.1. Recebida a Nota Fiscal ou documento de cobrança equivalente, correrá o prazo de </w:t>
      </w:r>
      <w:r>
        <w:rPr>
          <w:rFonts w:eastAsia="Times New Roman" w:cs="Times New Roman" w:ascii="Arial" w:hAnsi="Arial"/>
          <w:b w:val="false"/>
          <w:bCs w:val="false"/>
          <w:sz w:val="24"/>
          <w:szCs w:val="24"/>
          <w:lang w:eastAsia="en-US"/>
        </w:rPr>
        <w:t>(30) trinta</w:t>
      </w:r>
      <w:r>
        <w:rPr>
          <w:rFonts w:ascii="Arial" w:hAnsi="Arial"/>
          <w:b w:val="false"/>
          <w:bCs w:val="false"/>
          <w:sz w:val="24"/>
          <w:szCs w:val="24"/>
          <w:lang w:eastAsia="en-US"/>
        </w:rPr>
        <w:t xml:space="preserve"> dias úteis para fins de liquidação, na forma desta seção, prorrogáveis por igual período.</w:t>
      </w:r>
    </w:p>
    <w:p>
      <w:pPr>
        <w:pStyle w:val="Normal"/>
        <w:spacing w:lineRule="auto" w:line="360"/>
        <w:ind w:hanging="0" w:left="-22" w:right="0"/>
        <w:jc w:val="both"/>
        <w:rPr/>
      </w:pPr>
      <w:r>
        <w:rPr>
          <w:rFonts w:ascii="Arial" w:hAnsi="Arial"/>
          <w:b w:val="false"/>
          <w:bCs w:val="false"/>
          <w:sz w:val="24"/>
          <w:szCs w:val="24"/>
        </w:rPr>
        <w:t xml:space="preserve">9.2.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28"/>
          <w:sz w:val="24"/>
          <w:u w:val="none"/>
          <w:b w:val="false"/>
          <w:szCs w:val="24"/>
          <w:bCs w:val="false"/>
          <w:rFonts w:ascii="Arial" w:hAnsi="Arial"/>
          <w:color w:val="000000"/>
        </w:rPr>
        <w:instrText xml:space="preserve"> HYPERLINK "http://www.planalto.gov.br/ccivil_03/_ato2019-2022/2021/lei/L14133.htm" \l "art75"</w:instrText>
      </w:r>
      <w:r>
        <w:rPr>
          <w:rStyle w:val="ListLabel28"/>
          <w:sz w:val="24"/>
          <w:u w:val="none"/>
          <w:b w:val="false"/>
          <w:szCs w:val="24"/>
          <w:bCs w:val="false"/>
          <w:rFonts w:ascii="Arial" w:hAnsi="Arial"/>
          <w:color w:val="000000"/>
        </w:rPr>
        <w:fldChar w:fldCharType="separate"/>
      </w:r>
      <w:r>
        <w:rPr>
          <w:rStyle w:val="ListLabel28"/>
          <w:rFonts w:ascii="Arial" w:hAnsi="Arial"/>
          <w:b w:val="false"/>
          <w:bCs w:val="false"/>
          <w:color w:val="000000"/>
          <w:sz w:val="24"/>
          <w:szCs w:val="24"/>
          <w:u w:val="none"/>
        </w:rPr>
        <w:t>inciso II do art. 75 da Lei nº 14.133, de 2021</w:t>
      </w:r>
      <w:r>
        <w:rPr>
          <w:rStyle w:val="ListLabel28"/>
          <w:sz w:val="24"/>
          <w:u w:val="none"/>
          <w:b w:val="false"/>
          <w:szCs w:val="24"/>
          <w:bCs w:val="false"/>
          <w:rFonts w:ascii="Arial" w:hAnsi="Arial"/>
          <w:color w:val="000000"/>
        </w:rPr>
        <w:fldChar w:fldCharType="end"/>
      </w:r>
      <w:r>
        <w:rPr>
          <w:rFonts w:ascii="Arial" w:hAnsi="Arial"/>
          <w:b w:val="false"/>
          <w:bCs w:val="false"/>
          <w:color w:val="000000"/>
          <w:sz w:val="24"/>
          <w:szCs w:val="24"/>
          <w:u w:val="none"/>
        </w:rPr>
        <w:t>.</w:t>
      </w:r>
    </w:p>
    <w:p>
      <w:pPr>
        <w:pStyle w:val="Normal"/>
        <w:spacing w:lineRule="auto" w:line="360"/>
        <w:ind w:hanging="0" w:left="-22" w:right="0"/>
        <w:jc w:val="both"/>
        <w:rPr>
          <w:rFonts w:ascii="Arial" w:hAnsi="Arial"/>
          <w:sz w:val="24"/>
          <w:szCs w:val="24"/>
        </w:rPr>
      </w:pPr>
      <w:r>
        <w:rPr>
          <w:rFonts w:ascii="Arial" w:hAnsi="Arial"/>
          <w:b w:val="false"/>
          <w:bCs w:val="false"/>
          <w:sz w:val="24"/>
          <w:szCs w:val="24"/>
        </w:rPr>
        <w:t xml:space="preserve">9.3.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360"/>
        <w:ind w:hanging="0" w:left="432" w:right="0"/>
        <w:jc w:val="both"/>
        <w:rPr>
          <w:rFonts w:ascii="Arial" w:hAnsi="Arial"/>
          <w:sz w:val="24"/>
          <w:szCs w:val="24"/>
        </w:rPr>
      </w:pPr>
      <w:r>
        <w:rPr>
          <w:rFonts w:ascii="Arial" w:hAnsi="Arial"/>
          <w:b w:val="false"/>
          <w:bCs w:val="false"/>
          <w:sz w:val="24"/>
          <w:szCs w:val="24"/>
        </w:rPr>
        <w:t>- O prazo de validade;</w:t>
      </w:r>
    </w:p>
    <w:p>
      <w:pPr>
        <w:pStyle w:val="Normal"/>
        <w:tabs>
          <w:tab w:val="clear" w:pos="708"/>
          <w:tab w:val="left" w:pos="563" w:leader="none"/>
        </w:tabs>
        <w:spacing w:lineRule="auto" w:line="360"/>
        <w:ind w:hanging="0" w:left="432" w:right="0"/>
        <w:jc w:val="both"/>
        <w:rPr>
          <w:rFonts w:ascii="Arial" w:hAnsi="Arial"/>
          <w:sz w:val="24"/>
          <w:szCs w:val="24"/>
        </w:rPr>
      </w:pPr>
      <w:r>
        <w:rPr>
          <w:rFonts w:ascii="Arial" w:hAnsi="Arial"/>
          <w:b w:val="false"/>
          <w:bCs w:val="false"/>
          <w:sz w:val="24"/>
          <w:szCs w:val="24"/>
        </w:rPr>
        <w:t xml:space="preserve">- A data da emissão; </w:t>
      </w:r>
    </w:p>
    <w:p>
      <w:pPr>
        <w:pStyle w:val="Normal"/>
        <w:tabs>
          <w:tab w:val="clear" w:pos="708"/>
          <w:tab w:val="left" w:pos="563" w:leader="none"/>
        </w:tabs>
        <w:spacing w:lineRule="auto" w:line="360"/>
        <w:ind w:hanging="0" w:left="432" w:right="0"/>
        <w:jc w:val="both"/>
        <w:rPr>
          <w:rFonts w:ascii="Arial" w:hAnsi="Arial"/>
          <w:sz w:val="24"/>
          <w:szCs w:val="24"/>
        </w:rPr>
      </w:pPr>
      <w:r>
        <w:rPr>
          <w:rFonts w:ascii="Arial" w:hAnsi="Arial"/>
          <w:b w:val="false"/>
          <w:bCs w:val="false"/>
          <w:sz w:val="24"/>
          <w:szCs w:val="24"/>
        </w:rPr>
        <w:t xml:space="preserve">- Os dados do contrato e do órgão contratante; </w:t>
      </w:r>
    </w:p>
    <w:p>
      <w:pPr>
        <w:pStyle w:val="Normal"/>
        <w:tabs>
          <w:tab w:val="clear" w:pos="708"/>
          <w:tab w:val="left" w:pos="563" w:leader="none"/>
        </w:tabs>
        <w:spacing w:lineRule="auto" w:line="360"/>
        <w:ind w:hanging="0" w:left="432" w:right="0"/>
        <w:jc w:val="both"/>
        <w:rPr>
          <w:rFonts w:ascii="Arial" w:hAnsi="Arial"/>
          <w:sz w:val="24"/>
          <w:szCs w:val="24"/>
        </w:rPr>
      </w:pPr>
      <w:r>
        <w:rPr>
          <w:rFonts w:ascii="Arial" w:hAnsi="Arial"/>
          <w:b w:val="false"/>
          <w:bCs w:val="false"/>
          <w:sz w:val="24"/>
          <w:szCs w:val="24"/>
        </w:rPr>
        <w:t xml:space="preserve">- O período respectivo de execução do contrato; </w:t>
      </w:r>
    </w:p>
    <w:p>
      <w:pPr>
        <w:pStyle w:val="Normal"/>
        <w:tabs>
          <w:tab w:val="clear" w:pos="708"/>
          <w:tab w:val="left" w:pos="563" w:leader="none"/>
        </w:tabs>
        <w:spacing w:lineRule="auto" w:line="360"/>
        <w:ind w:hanging="0" w:left="432" w:right="0"/>
        <w:jc w:val="both"/>
        <w:rPr>
          <w:rFonts w:ascii="Arial" w:hAnsi="Arial"/>
          <w:sz w:val="24"/>
          <w:szCs w:val="24"/>
        </w:rPr>
      </w:pPr>
      <w:r>
        <w:rPr>
          <w:rFonts w:ascii="Arial" w:hAnsi="Arial"/>
          <w:b w:val="false"/>
          <w:bCs w:val="false"/>
          <w:sz w:val="24"/>
          <w:szCs w:val="24"/>
        </w:rPr>
        <w:t xml:space="preserve">- O valor a pagar; e </w:t>
      </w:r>
    </w:p>
    <w:p>
      <w:pPr>
        <w:pStyle w:val="Normal"/>
        <w:tabs>
          <w:tab w:val="clear" w:pos="708"/>
          <w:tab w:val="left" w:pos="563" w:leader="none"/>
        </w:tabs>
        <w:spacing w:lineRule="auto" w:line="360"/>
        <w:ind w:hanging="0" w:left="432" w:right="0"/>
        <w:jc w:val="both"/>
        <w:rPr>
          <w:rFonts w:ascii="Arial" w:hAnsi="Arial"/>
          <w:sz w:val="24"/>
          <w:szCs w:val="24"/>
        </w:rPr>
      </w:pPr>
      <w:r>
        <w:rPr>
          <w:rFonts w:ascii="Arial" w:hAnsi="Arial"/>
          <w:b w:val="false"/>
          <w:bCs w:val="false"/>
          <w:sz w:val="24"/>
          <w:szCs w:val="24"/>
        </w:rPr>
        <w:t>- Eventual destaque do valor de retenções tributárias cabíveis.</w:t>
      </w:r>
    </w:p>
    <w:p>
      <w:pPr>
        <w:pStyle w:val="Normal"/>
        <w:tabs>
          <w:tab w:val="clear" w:pos="708"/>
          <w:tab w:val="left" w:pos="563" w:leader="none"/>
        </w:tabs>
        <w:spacing w:lineRule="auto" w:line="360"/>
        <w:ind w:hanging="0" w:left="-22" w:right="0"/>
        <w:jc w:val="both"/>
        <w:rPr>
          <w:rFonts w:ascii="Arial" w:hAnsi="Arial"/>
          <w:sz w:val="24"/>
          <w:szCs w:val="24"/>
        </w:rPr>
      </w:pPr>
      <w:r>
        <w:rPr>
          <w:rFonts w:ascii="Arial" w:hAnsi="Arial"/>
          <w:b w:val="false"/>
          <w:bCs w:val="false"/>
          <w:sz w:val="24"/>
          <w:szCs w:val="24"/>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360"/>
        <w:ind w:hanging="0" w:left="-22" w:right="0"/>
        <w:jc w:val="both"/>
        <w:rPr/>
      </w:pPr>
      <w:r>
        <w:rPr>
          <w:rFonts w:ascii="Arial" w:hAnsi="Arial"/>
          <w:b w:val="false"/>
          <w:bCs w:val="false"/>
          <w:sz w:val="24"/>
          <w:szCs w:val="24"/>
        </w:rPr>
        <w:t>9.5. A</w:t>
      </w:r>
      <w:r>
        <w:rPr>
          <w:rFonts w:ascii="Arial" w:hAnsi="Arial"/>
          <w:b w:val="false"/>
          <w:bCs w:val="false"/>
          <w:sz w:val="24"/>
          <w:szCs w:val="24"/>
          <w:lang w:eastAsia="en-US"/>
        </w:rPr>
        <w:t xml:space="preserve"> nota fiscal ou instrumento de cobrança equivalente deverá ser obrigatoriamente acompanhado da comprovação da regularidade fiscal</w:t>
      </w:r>
      <w:r>
        <w:rPr>
          <w:rStyle w:val="Hyperlink"/>
          <w:rFonts w:ascii="Arial" w:hAnsi="Arial"/>
          <w:b w:val="false"/>
          <w:bCs w:val="false"/>
          <w:sz w:val="24"/>
          <w:szCs w:val="24"/>
          <w:lang w:eastAsia="en-US"/>
        </w:rPr>
        <w:t>.</w:t>
      </w:r>
    </w:p>
    <w:p>
      <w:pPr>
        <w:pStyle w:val="Normal"/>
        <w:spacing w:lineRule="auto" w:line="360"/>
        <w:ind w:hanging="0" w:left="-22" w:right="0"/>
        <w:jc w:val="both"/>
        <w:rPr>
          <w:rFonts w:ascii="Arial" w:hAnsi="Arial"/>
          <w:sz w:val="24"/>
          <w:szCs w:val="24"/>
        </w:rPr>
      </w:pPr>
      <w:r>
        <w:rPr>
          <w:rFonts w:ascii="Arial" w:hAnsi="Arial"/>
          <w:b w:val="false"/>
          <w:bCs w:val="false"/>
          <w:sz w:val="24"/>
          <w:szCs w:val="24"/>
        </w:rPr>
        <w:t>9.6. O pagamento será efetuado no prazo de até 30 (trinta) dias úteis contados da finalização da liquidação da despesa.</w:t>
      </w:r>
    </w:p>
    <w:p>
      <w:pPr>
        <w:pStyle w:val="Normal"/>
        <w:spacing w:lineRule="auto" w:line="360"/>
        <w:ind w:hanging="0" w:left="-22" w:right="0"/>
        <w:jc w:val="both"/>
        <w:rPr>
          <w:rFonts w:ascii="Arial" w:hAnsi="Arial"/>
          <w:sz w:val="24"/>
          <w:szCs w:val="24"/>
        </w:rPr>
      </w:pPr>
      <w:r>
        <w:rPr>
          <w:rFonts w:ascii="Arial" w:hAnsi="Arial"/>
          <w:b w:val="false"/>
          <w:bCs w:val="false"/>
          <w:sz w:val="24"/>
          <w:szCs w:val="24"/>
        </w:rPr>
        <w:t>9.7. O pagamento será realizado por meio de ordem bancária, para crédito em banco, agência e conta corrente indicados pelo contratado.</w:t>
      </w:r>
    </w:p>
    <w:p>
      <w:pPr>
        <w:pStyle w:val="Normal"/>
        <w:spacing w:lineRule="auto" w:line="360"/>
        <w:ind w:hanging="0" w:left="-22" w:right="0"/>
        <w:jc w:val="both"/>
        <w:rPr>
          <w:rFonts w:ascii="Arial" w:hAnsi="Arial"/>
          <w:sz w:val="24"/>
          <w:szCs w:val="24"/>
        </w:rPr>
      </w:pPr>
      <w:r>
        <w:rPr>
          <w:rFonts w:ascii="Arial" w:hAnsi="Arial"/>
          <w:b w:val="false"/>
          <w:bCs w:val="false"/>
          <w:sz w:val="24"/>
          <w:szCs w:val="24"/>
        </w:rPr>
        <w:t>9.8. Será considerada data do pagamento o dia em que constar como emitida a ordem bancária para pagamento.</w:t>
      </w:r>
    </w:p>
    <w:p>
      <w:pPr>
        <w:pStyle w:val="Normal"/>
        <w:spacing w:lineRule="auto" w:line="360"/>
        <w:ind w:hanging="0" w:left="-79" w:right="0"/>
        <w:jc w:val="both"/>
        <w:rPr>
          <w:rFonts w:ascii="Arial" w:hAnsi="Arial"/>
          <w:sz w:val="24"/>
          <w:szCs w:val="24"/>
        </w:rPr>
      </w:pPr>
      <w:r>
        <w:rPr>
          <w:rFonts w:ascii="Arial" w:hAnsi="Arial"/>
          <w:b w:val="false"/>
          <w:bCs w:val="false"/>
          <w:sz w:val="24"/>
          <w:szCs w:val="24"/>
        </w:rPr>
        <w:t>9.9. Quando do pagamento, será efetuada a retenção tributária prevista na legislação aplicável.</w:t>
      </w:r>
    </w:p>
    <w:p>
      <w:pPr>
        <w:pStyle w:val="Normal"/>
        <w:spacing w:lineRule="auto" w:line="360"/>
        <w:ind w:hanging="0" w:left="-79" w:right="0"/>
        <w:jc w:val="both"/>
        <w:rPr/>
      </w:pPr>
      <w:r>
        <w:rPr>
          <w:rFonts w:ascii="Arial" w:hAnsi="Arial"/>
          <w:b w:val="false"/>
          <w:bCs w:val="false"/>
          <w:sz w:val="24"/>
          <w:szCs w:val="24"/>
          <w:lang w:eastAsia="en-US"/>
        </w:rPr>
        <w:t xml:space="preserve">9.10. O contratado regularmente optante pelo Simples Nacional, nos termos da </w:t>
      </w:r>
      <w:hyperlink r:id="rId2">
        <w:r>
          <w:rPr>
            <w:rStyle w:val="ListLabel29"/>
            <w:rFonts w:ascii="Arial" w:hAnsi="Arial"/>
            <w:b w:val="false"/>
            <w:bCs w:val="false"/>
            <w:sz w:val="24"/>
            <w:szCs w:val="24"/>
            <w:u w:val="none"/>
            <w:lang w:eastAsia="en-US"/>
          </w:rPr>
          <w:t>Lei Complementar nº 123, de 2006</w:t>
        </w:r>
      </w:hyperlink>
      <w:r>
        <w:rPr>
          <w:rFonts w:ascii="Arial" w:hAnsi="Arial"/>
          <w:b w:val="false"/>
          <w:bCs w:val="false"/>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ind w:hanging="0" w:left="-79" w:right="0"/>
        <w:jc w:val="both"/>
        <w:rPr>
          <w:rFonts w:ascii="Arial" w:hAnsi="Arial"/>
          <w:sz w:val="24"/>
          <w:szCs w:val="24"/>
        </w:rPr>
      </w:pPr>
      <w:r>
        <w:rPr>
          <w:rFonts w:ascii="Arial" w:hAnsi="Arial"/>
          <w:b w:val="false"/>
          <w:bCs w:val="false"/>
          <w:sz w:val="24"/>
          <w:szCs w:val="24"/>
          <w:lang w:eastAsia="en-US"/>
        </w:rPr>
        <w:t>9.11.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360"/>
        <w:ind w:hanging="0" w:left="-79" w:right="0"/>
        <w:jc w:val="both"/>
        <w:rPr>
          <w:rFonts w:ascii="Arial" w:hAnsi="Arial"/>
          <w:sz w:val="24"/>
          <w:szCs w:val="24"/>
        </w:rPr>
      </w:pPr>
      <w:r>
        <w:rPr>
          <w:rFonts w:eastAsia="Calibri" w:cs="Calibri" w:ascii="Arial" w:hAnsi="Arial"/>
          <w:b w:val="false"/>
          <w:bCs w:val="false"/>
          <w:color w:val="000000"/>
          <w:sz w:val="24"/>
          <w:szCs w:val="24"/>
        </w:rPr>
        <w:t xml:space="preserve">9.11. </w:t>
      </w:r>
      <w:r>
        <w:rPr>
          <w:rFonts w:ascii="Arial" w:hAnsi="Arial"/>
          <w:b w:val="false"/>
          <w:bCs w:val="false"/>
          <w:sz w:val="24"/>
          <w:szCs w:val="24"/>
        </w:rPr>
        <w:t xml:space="preserve"> Após o prazo acima referenciado, será paga multa financeira nos seguintes termos:</w:t>
      </w:r>
    </w:p>
    <w:p>
      <w:pPr>
        <w:pStyle w:val="PargrafodaLista"/>
        <w:tabs>
          <w:tab w:val="clear" w:pos="708"/>
          <w:tab w:val="left" w:pos="518" w:leader="none"/>
        </w:tabs>
        <w:spacing w:lineRule="auto" w:line="360"/>
        <w:ind w:hanging="0" w:left="0" w:right="0"/>
        <w:jc w:val="center"/>
        <w:rPr>
          <w:rFonts w:ascii="Arial" w:hAnsi="Arial" w:cs="Arial"/>
          <w:b/>
          <w:sz w:val="24"/>
          <w:szCs w:val="24"/>
          <w:u w:val="single"/>
        </w:rPr>
      </w:pPr>
      <w:r>
        <w:rPr>
          <w:rFonts w:cs="Arial" w:ascii="Arial" w:hAnsi="Arial"/>
          <w:b/>
          <w:sz w:val="24"/>
          <w:szCs w:val="24"/>
          <w:u w:val="single"/>
        </w:rPr>
      </w:r>
    </w:p>
    <w:p>
      <w:pPr>
        <w:pStyle w:val="PargrafodaLista"/>
        <w:tabs>
          <w:tab w:val="clear" w:pos="708"/>
          <w:tab w:val="left" w:pos="518" w:leader="none"/>
        </w:tabs>
        <w:spacing w:lineRule="auto" w:line="360"/>
        <w:ind w:hanging="0" w:left="0" w:right="0"/>
        <w:jc w:val="center"/>
        <w:rPr>
          <w:rFonts w:ascii="Arial" w:hAnsi="Arial"/>
          <w:sz w:val="24"/>
          <w:szCs w:val="24"/>
        </w:rPr>
      </w:pPr>
      <w:r>
        <w:rPr>
          <w:rFonts w:cs="Verdana" w:ascii="Arial" w:hAnsi="Arial"/>
          <w:b w:val="false"/>
          <w:bCs w:val="false"/>
          <w:sz w:val="24"/>
          <w:szCs w:val="24"/>
        </w:rPr>
        <w:t xml:space="preserve">VM = VF </w:t>
      </w:r>
      <w:r>
        <w:rPr>
          <w:rFonts w:cs="Verdana" w:ascii="Arial" w:hAnsi="Arial"/>
          <w:b w:val="false"/>
          <w:bCs w:val="false"/>
          <w:sz w:val="24"/>
          <w:szCs w:val="24"/>
          <w:vertAlign w:val="subscript"/>
        </w:rPr>
        <w:t>*</w:t>
      </w:r>
      <w:r>
        <w:rPr>
          <w:rFonts w:cs="Verdana" w:ascii="Arial" w:hAnsi="Arial"/>
          <w:b w:val="false"/>
          <w:bCs w:val="false"/>
          <w:sz w:val="24"/>
          <w:szCs w:val="24"/>
        </w:rPr>
        <w:t xml:space="preserve"> </w:t>
      </w:r>
      <w:r>
        <w:rPr>
          <w:rFonts w:cs="Verdana" w:ascii="Arial" w:hAnsi="Arial"/>
          <w:b w:val="false"/>
          <w:bCs w:val="false"/>
          <w:sz w:val="24"/>
          <w:szCs w:val="24"/>
          <w:u w:val="single"/>
        </w:rPr>
        <w:t>0,33</w:t>
      </w:r>
      <w:r>
        <w:rPr>
          <w:rFonts w:cs="Verdana" w:ascii="Arial" w:hAnsi="Arial"/>
          <w:b w:val="false"/>
          <w:bCs w:val="false"/>
          <w:sz w:val="24"/>
          <w:szCs w:val="24"/>
        </w:rPr>
        <w:t xml:space="preserve"> </w:t>
      </w:r>
      <w:r>
        <w:rPr>
          <w:rFonts w:cs="Verdana" w:ascii="Arial" w:hAnsi="Arial"/>
          <w:b w:val="false"/>
          <w:bCs w:val="false"/>
          <w:sz w:val="24"/>
          <w:szCs w:val="24"/>
          <w:vertAlign w:val="subscript"/>
        </w:rPr>
        <w:t>*</w:t>
      </w:r>
      <w:r>
        <w:rPr>
          <w:rFonts w:cs="Verdana" w:ascii="Arial" w:hAnsi="Arial"/>
          <w:b w:val="false"/>
          <w:bCs w:val="false"/>
          <w:sz w:val="24"/>
          <w:szCs w:val="24"/>
        </w:rPr>
        <w:t xml:space="preserve"> ND</w:t>
      </w:r>
    </w:p>
    <w:p>
      <w:pPr>
        <w:pStyle w:val="PargrafodaLista"/>
        <w:tabs>
          <w:tab w:val="clear" w:pos="708"/>
          <w:tab w:val="left" w:pos="518" w:leader="none"/>
        </w:tabs>
        <w:spacing w:lineRule="auto" w:line="360"/>
        <w:ind w:hanging="0" w:left="0" w:right="0"/>
        <w:jc w:val="center"/>
        <w:rPr>
          <w:rFonts w:ascii="Arial" w:hAnsi="Arial"/>
          <w:sz w:val="24"/>
          <w:szCs w:val="24"/>
        </w:rPr>
      </w:pPr>
      <w:r>
        <w:rPr>
          <w:rFonts w:eastAsia="Verdana" w:cs="Verdana" w:ascii="Arial" w:hAnsi="Arial"/>
          <w:b w:val="false"/>
          <w:bCs w:val="false"/>
          <w:sz w:val="24"/>
          <w:szCs w:val="24"/>
        </w:rPr>
        <w:t xml:space="preserve">        </w:t>
      </w:r>
      <w:r>
        <w:rPr>
          <w:rFonts w:cs="Verdana" w:ascii="Arial" w:hAnsi="Arial"/>
          <w:b w:val="false"/>
          <w:bCs w:val="false"/>
          <w:sz w:val="24"/>
          <w:szCs w:val="24"/>
        </w:rPr>
        <w:t>100</w:t>
      </w:r>
    </w:p>
    <w:p>
      <w:pPr>
        <w:pStyle w:val="Normal"/>
        <w:suppressAutoHyphens w:val="false"/>
        <w:spacing w:lineRule="auto" w:line="360"/>
        <w:rPr>
          <w:rFonts w:ascii="Arial" w:hAnsi="Arial"/>
          <w:sz w:val="24"/>
          <w:szCs w:val="24"/>
        </w:rPr>
      </w:pPr>
      <w:r>
        <w:rPr>
          <w:rFonts w:cs="Arial" w:ascii="Arial" w:hAnsi="Arial"/>
          <w:b w:val="false"/>
          <w:bCs w:val="false"/>
          <w:color w:val="000000"/>
          <w:sz w:val="24"/>
          <w:szCs w:val="24"/>
        </w:rPr>
        <w:t xml:space="preserve">Onde: </w:t>
      </w:r>
    </w:p>
    <w:p>
      <w:pPr>
        <w:pStyle w:val="Normal"/>
        <w:suppressAutoHyphens w:val="false"/>
        <w:spacing w:lineRule="auto" w:line="360"/>
        <w:rPr>
          <w:rFonts w:ascii="Arial" w:hAnsi="Arial"/>
          <w:sz w:val="24"/>
          <w:szCs w:val="24"/>
        </w:rPr>
      </w:pPr>
      <w:r>
        <w:rPr>
          <w:rFonts w:cs="Arial" w:ascii="Arial" w:hAnsi="Arial"/>
          <w:b w:val="false"/>
          <w:bCs w:val="false"/>
          <w:color w:val="000000"/>
          <w:sz w:val="24"/>
          <w:szCs w:val="24"/>
        </w:rPr>
        <w:t xml:space="preserve">VM = Valor da Multa Financeira; </w:t>
      </w:r>
    </w:p>
    <w:p>
      <w:pPr>
        <w:pStyle w:val="Normal"/>
        <w:suppressAutoHyphens w:val="false"/>
        <w:spacing w:lineRule="auto" w:line="360"/>
        <w:rPr>
          <w:rFonts w:ascii="Arial" w:hAnsi="Arial"/>
          <w:sz w:val="24"/>
          <w:szCs w:val="24"/>
        </w:rPr>
      </w:pPr>
      <w:r>
        <w:rPr>
          <w:rFonts w:cs="Arial" w:ascii="Arial" w:hAnsi="Arial"/>
          <w:b w:val="false"/>
          <w:bCs w:val="false"/>
          <w:color w:val="000000"/>
          <w:sz w:val="24"/>
          <w:szCs w:val="24"/>
        </w:rPr>
        <w:t xml:space="preserve">VF = Valor da Nota Fiscal; </w:t>
      </w:r>
    </w:p>
    <w:p>
      <w:pPr>
        <w:pStyle w:val="PargrafodaLista"/>
        <w:tabs>
          <w:tab w:val="clear" w:pos="708"/>
          <w:tab w:val="left" w:pos="518" w:leader="none"/>
        </w:tabs>
        <w:spacing w:lineRule="auto" w:line="360"/>
        <w:ind w:hanging="0" w:left="0" w:right="0"/>
        <w:rPr>
          <w:rFonts w:ascii="Arial" w:hAnsi="Arial"/>
          <w:sz w:val="24"/>
          <w:szCs w:val="24"/>
        </w:rPr>
      </w:pPr>
      <w:r>
        <w:rPr>
          <w:rFonts w:eastAsia="Times New Roman" w:cs="Arial" w:ascii="Arial" w:hAnsi="Arial"/>
          <w:b w:val="false"/>
          <w:bCs w:val="false"/>
          <w:color w:val="000000"/>
          <w:sz w:val="24"/>
          <w:szCs w:val="24"/>
        </w:rPr>
        <w:t>ND = Número de dias em atraso.</w:t>
      </w:r>
    </w:p>
    <w:p>
      <w:pPr>
        <w:pStyle w:val="Normal"/>
        <w:suppressAutoHyphens w:val="false"/>
        <w:spacing w:lineRule="auto" w:line="360"/>
        <w:jc w:val="both"/>
        <w:rPr>
          <w:rFonts w:ascii="Arial" w:hAnsi="Arial"/>
          <w:sz w:val="24"/>
          <w:szCs w:val="24"/>
        </w:rPr>
      </w:pPr>
      <w:r>
        <w:rPr>
          <w:rFonts w:eastAsia="Times New Roman" w:cs="Arial" w:ascii="Arial" w:hAnsi="Arial"/>
          <w:b w:val="false"/>
          <w:bCs w:val="false"/>
          <w:color w:val="000000"/>
          <w:sz w:val="24"/>
          <w:szCs w:val="24"/>
        </w:rPr>
        <w:t xml:space="preserve">9.12.. </w:t>
      </w:r>
      <w:r>
        <w:rPr>
          <w:rFonts w:cs="Arial" w:ascii="Arial" w:hAnsi="Arial"/>
          <w:b w:val="false"/>
          <w:bCs w:val="false"/>
          <w:color w:val="000000"/>
          <w:sz w:val="24"/>
          <w:szCs w:val="24"/>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360"/>
        <w:jc w:val="both"/>
        <w:rPr>
          <w:rFonts w:ascii="Arial" w:hAnsi="Arial"/>
          <w:sz w:val="24"/>
          <w:szCs w:val="24"/>
        </w:rPr>
      </w:pPr>
      <w:r>
        <w:rPr>
          <w:rFonts w:eastAsia="Times New Roman" w:cs="Arial" w:ascii="Arial" w:hAnsi="Arial"/>
          <w:b w:val="false"/>
          <w:bCs w:val="false"/>
          <w:color w:val="000000"/>
          <w:sz w:val="24"/>
          <w:szCs w:val="24"/>
        </w:rPr>
        <w:t>9.13.</w:t>
      </w:r>
      <w:r>
        <w:rPr>
          <w:rFonts w:cs="Arial" w:ascii="Arial" w:hAnsi="Arial"/>
          <w:b w:val="false"/>
          <w:bCs w:val="false"/>
          <w:color w:val="000000"/>
          <w:sz w:val="24"/>
          <w:szCs w:val="24"/>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360"/>
        <w:jc w:val="both"/>
        <w:rPr>
          <w:rFonts w:ascii="Arial" w:hAnsi="Arial"/>
          <w:sz w:val="24"/>
          <w:szCs w:val="24"/>
        </w:rPr>
      </w:pPr>
      <w:r>
        <w:rPr>
          <w:rFonts w:eastAsia="Times New Roman" w:cs="Arial" w:ascii="Arial" w:hAnsi="Arial"/>
          <w:b w:val="false"/>
          <w:bCs w:val="false"/>
          <w:color w:val="000000"/>
          <w:sz w:val="24"/>
          <w:szCs w:val="24"/>
        </w:rPr>
        <w:t xml:space="preserve">9.14. </w:t>
      </w:r>
      <w:r>
        <w:rPr>
          <w:rFonts w:cs="Arial" w:ascii="Arial" w:hAnsi="Arial"/>
          <w:b w:val="false"/>
          <w:bCs w:val="false"/>
          <w:color w:val="000000"/>
          <w:sz w:val="24"/>
          <w:szCs w:val="24"/>
        </w:rPr>
        <w:t>O CONTRATANTE poderá deduzir do pagamento importâncias que a qualquer título lhe forem devidos pela empresa CONTRATADA, em decorrência de descumprimento de suas obrigações.</w:t>
      </w:r>
    </w:p>
    <w:p>
      <w:pPr>
        <w:pStyle w:val="Default"/>
        <w:spacing w:lineRule="auto" w:line="360"/>
        <w:ind w:hanging="0" w:left="-22" w:right="0"/>
        <w:jc w:val="both"/>
        <w:rPr>
          <w:rFonts w:ascii="Arial" w:hAnsi="Arial"/>
          <w:sz w:val="24"/>
          <w:szCs w:val="24"/>
        </w:rPr>
      </w:pPr>
      <w:r>
        <w:rPr>
          <w:rFonts w:cs="Arial" w:ascii="Arial" w:hAnsi="Arial"/>
          <w:b w:val="false"/>
          <w:bCs w:val="false"/>
          <w:sz w:val="24"/>
          <w:szCs w:val="24"/>
          <w:u w:val="none"/>
        </w:rPr>
        <w:t xml:space="preserve">9.15. </w:t>
      </w:r>
      <w:r>
        <w:rPr>
          <w:rFonts w:cs="Arial" w:ascii="Arial" w:hAnsi="Arial"/>
          <w:b w:val="false"/>
          <w:bCs w:val="false"/>
          <w:sz w:val="24"/>
          <w:szCs w:val="24"/>
          <w:u w:val="none"/>
          <w:lang w:eastAsia="en-US"/>
        </w:rPr>
        <w:t xml:space="preserve">Para a efetivação do pagamento, a CONTRATADA deverá manter as mesmas </w:t>
      </w:r>
      <w:r>
        <w:rPr>
          <w:rFonts w:cs="Arial" w:ascii="Arial" w:hAnsi="Arial"/>
          <w:b w:val="false"/>
          <w:bCs w:val="false"/>
          <w:sz w:val="24"/>
          <w:szCs w:val="24"/>
          <w:u w:val="none"/>
          <w:lang w:eastAsia="pt-BR"/>
        </w:rPr>
        <w:t>condições relativas à proposta de preço e a habilitação;</w:t>
      </w:r>
    </w:p>
    <w:p>
      <w:pPr>
        <w:pStyle w:val="Default"/>
        <w:spacing w:lineRule="auto" w:line="360"/>
        <w:ind w:hanging="0" w:left="-22" w:right="0"/>
        <w:jc w:val="both"/>
        <w:rPr>
          <w:rFonts w:ascii="Arial" w:hAnsi="Arial"/>
          <w:sz w:val="24"/>
          <w:szCs w:val="24"/>
        </w:rPr>
      </w:pPr>
      <w:r>
        <w:rPr/>
      </w:r>
    </w:p>
    <w:p>
      <w:pPr>
        <w:pStyle w:val="Normal"/>
        <w:spacing w:lineRule="auto" w:line="240"/>
        <w:ind w:hanging="0" w:left="0" w:right="0"/>
        <w:jc w:val="both"/>
        <w:rPr>
          <w:rFonts w:ascii="Arial" w:hAnsi="Arial" w:cs="Arial"/>
          <w:b w:val="false"/>
          <w:bCs w:val="false"/>
          <w:sz w:val="24"/>
          <w:szCs w:val="24"/>
          <w:u w:val="single"/>
        </w:rPr>
      </w:pPr>
      <w:r>
        <w:rPr>
          <w:rFonts w:cs="Arial" w:ascii="Arial" w:hAnsi="Arial"/>
          <w:b w:val="false"/>
          <w:bCs w:val="false"/>
          <w:sz w:val="24"/>
          <w:szCs w:val="24"/>
          <w:u w:val="single"/>
        </w:rPr>
      </w:r>
    </w:p>
    <w:p>
      <w:pPr>
        <w:pStyle w:val="Normal"/>
        <w:spacing w:lineRule="auto" w:line="276"/>
        <w:ind w:hanging="0" w:left="-79" w:right="0"/>
        <w:jc w:val="both"/>
        <w:rPr>
          <w:rFonts w:ascii="Arial" w:hAnsi="Arial"/>
          <w:sz w:val="24"/>
          <w:szCs w:val="24"/>
        </w:rPr>
      </w:pPr>
      <w:r>
        <w:rPr>
          <w:rFonts w:ascii="Arial" w:hAnsi="Arial"/>
          <w:b/>
          <w:bCs/>
          <w:sz w:val="24"/>
          <w:szCs w:val="24"/>
          <w:lang w:eastAsia="en-US"/>
        </w:rPr>
        <w:t>10. DA HABILITAÇÃO</w:t>
      </w:r>
    </w:p>
    <w:p>
      <w:pPr>
        <w:pStyle w:val="Nivel01"/>
        <w:tabs>
          <w:tab w:val="left" w:pos="517" w:leader="none"/>
          <w:tab w:val="left" w:pos="567" w:leader="none"/>
          <w:tab w:val="left" w:pos="683" w:leader="none"/>
        </w:tabs>
        <w:spacing w:lineRule="auto" w:line="360" w:before="57" w:after="57"/>
        <w:ind w:hanging="0" w:left="-57" w:right="0"/>
        <w:rPr>
          <w:rFonts w:ascii="Arial" w:hAnsi="Arial"/>
          <w:sz w:val="24"/>
          <w:szCs w:val="24"/>
        </w:rPr>
      </w:pPr>
      <w:r>
        <w:rPr>
          <w:rFonts w:cs="Verdana" w:ascii="Arial" w:hAnsi="Arial"/>
          <w:b w:val="false"/>
          <w:bCs w:val="false"/>
          <w:sz w:val="24"/>
          <w:szCs w:val="24"/>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sz w:val="24"/>
          <w:szCs w:val="24"/>
          <w:lang w:eastAsia="ar-SA"/>
        </w:rPr>
        <w:t>a) SICAF;</w:t>
      </w:r>
    </w:p>
    <w:p>
      <w:pPr>
        <w:pStyle w:val="ListParagraph"/>
        <w:spacing w:lineRule="auto" w:line="360" w:before="57" w:after="57"/>
        <w:ind w:hanging="0" w:left="0" w:right="0"/>
        <w:contextualSpacing/>
        <w:jc w:val="both"/>
        <w:rPr/>
      </w:pPr>
      <w:r>
        <w:rPr>
          <w:rFonts w:cs="Verdana" w:ascii="Arial" w:hAnsi="Arial"/>
          <w:b w:val="false"/>
          <w:bCs w:val="false"/>
          <w:sz w:val="24"/>
          <w:szCs w:val="24"/>
          <w:lang w:eastAsia="ar-SA"/>
        </w:rPr>
        <w:t>b) Cadastro Nacional de Empresas Inidôneas e Suspensas – CEIS, mantido pela Controladoria-Geral da União (</w:t>
      </w:r>
      <w:hyperlink r:id="rId3">
        <w:r>
          <w:rPr>
            <w:rStyle w:val="ListLabel30"/>
            <w:rFonts w:cs="Verdana" w:ascii="Arial" w:hAnsi="Arial"/>
            <w:b w:val="false"/>
            <w:bCs w:val="false"/>
            <w:color w:val="000080"/>
            <w:sz w:val="24"/>
            <w:szCs w:val="24"/>
            <w:u w:val="single"/>
            <w:lang w:eastAsia="ar-SA"/>
          </w:rPr>
          <w:t>www.portaldatransparencia.gov.br/ceis</w:t>
        </w:r>
      </w:hyperlink>
      <w:r>
        <w:rPr>
          <w:rFonts w:cs="Verdana" w:ascii="Arial" w:hAnsi="Arial"/>
          <w:b w:val="false"/>
          <w:bCs w:val="false"/>
          <w:sz w:val="24"/>
          <w:szCs w:val="24"/>
          <w:lang w:eastAsia="ar-SA"/>
        </w:rPr>
        <w:t>);</w:t>
      </w:r>
    </w:p>
    <w:p>
      <w:pPr>
        <w:pStyle w:val="ListParagraph"/>
        <w:spacing w:lineRule="auto" w:line="360" w:before="57" w:after="57"/>
        <w:ind w:hanging="0" w:left="0" w:right="0"/>
        <w:contextualSpacing/>
        <w:jc w:val="both"/>
        <w:rPr/>
      </w:pPr>
      <w:r>
        <w:rPr>
          <w:rFonts w:cs="Verdana" w:ascii="Arial" w:hAnsi="Arial"/>
          <w:b w:val="false"/>
          <w:bCs w:val="false"/>
          <w:sz w:val="24"/>
          <w:szCs w:val="24"/>
          <w:lang w:eastAsia="ar-SA"/>
        </w:rPr>
        <w:t>c) Cadastro Nacional de Condenações Cíveis por Atos de Improbidade Administrativa, mantido pelo Conselho Nacional de Justiça (</w:t>
      </w:r>
      <w:hyperlink r:id="rId4">
        <w:r>
          <w:rPr>
            <w:rStyle w:val="ListLabel30"/>
            <w:rFonts w:cs="Verdana" w:ascii="Arial" w:hAnsi="Arial"/>
            <w:b w:val="false"/>
            <w:bCs w:val="false"/>
            <w:color w:val="000080"/>
            <w:sz w:val="24"/>
            <w:szCs w:val="24"/>
            <w:u w:val="single"/>
            <w:lang w:eastAsia="ar-SA"/>
          </w:rPr>
          <w:t>www.cnj.jus.br/improbidade_adm/consultar_requerido.php</w:t>
        </w:r>
      </w:hyperlink>
      <w:r>
        <w:rPr>
          <w:rFonts w:cs="Verdana" w:ascii="Arial" w:hAnsi="Arial"/>
          <w:b w:val="false"/>
          <w:bCs w:val="false"/>
          <w:sz w:val="24"/>
          <w:szCs w:val="24"/>
          <w:lang w:eastAsia="ar-SA"/>
        </w:rPr>
        <w:t>).</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sz w:val="24"/>
          <w:szCs w:val="24"/>
          <w:lang w:eastAsia="ar-SA"/>
        </w:rPr>
        <w:t>d) Cadastro de Inidôneos e o Cadastro Integrado de Condenações por Ilícitos Administrativos – CADICON, mantidos pelo Tribunal de Contas da União – TCU;</w:t>
      </w:r>
    </w:p>
    <w:p>
      <w:pPr>
        <w:pStyle w:val="Normal"/>
        <w:spacing w:lineRule="auto" w:line="360" w:before="57" w:after="57"/>
        <w:jc w:val="both"/>
        <w:rPr/>
      </w:pPr>
      <w:r>
        <w:rPr>
          <w:rFonts w:cs="Verdana" w:ascii="Arial" w:hAnsi="Arial"/>
          <w:b w:val="false"/>
          <w:bCs w:val="false"/>
          <w:sz w:val="24"/>
          <w:szCs w:val="24"/>
          <w:lang w:eastAsia="ar-SA"/>
        </w:rPr>
        <w:t>e) Cadastro de empresas inid</w:t>
      </w:r>
      <w:r>
        <w:rPr>
          <w:rFonts w:cs="Verdana" w:ascii="Arial" w:hAnsi="Arial"/>
          <w:b w:val="false"/>
          <w:bCs w:val="false"/>
          <w:sz w:val="24"/>
          <w:szCs w:val="24"/>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31"/>
            <w:rFonts w:cs="Verdana" w:ascii="Arial" w:hAnsi="Arial"/>
            <w:b w:val="false"/>
            <w:bCs w:val="false"/>
            <w:color w:val="000080"/>
            <w:sz w:val="24"/>
            <w:szCs w:val="24"/>
            <w:u w:val="single"/>
          </w:rPr>
          <w:t>https://www.tcees.tc.br/portal-da-transparencia/consultas/lista-de</w:t>
        </w:r>
      </w:hyperlink>
      <w:r>
        <w:rPr>
          <w:rFonts w:cs="Verdana" w:ascii="Arial" w:hAnsi="Arial"/>
          <w:b w:val="false"/>
          <w:bCs w:val="false"/>
          <w:sz w:val="24"/>
          <w:szCs w:val="24"/>
        </w:rPr>
        <w:t xml:space="preserve"> responsáveis/proibidos-de-contratar/).</w:t>
      </w:r>
    </w:p>
    <w:p>
      <w:pPr>
        <w:pStyle w:val="Normal"/>
        <w:spacing w:lineRule="auto" w:line="360" w:before="57" w:after="57"/>
        <w:jc w:val="both"/>
        <w:rPr/>
      </w:pPr>
      <w:r>
        <w:rPr>
          <w:rFonts w:cs="Verdana" w:ascii="Arial" w:hAnsi="Arial"/>
          <w:b w:val="false"/>
          <w:bCs w:val="false"/>
          <w:sz w:val="24"/>
          <w:szCs w:val="24"/>
          <w:lang w:eastAsia="ar-SA"/>
        </w:rPr>
        <w:t>10.1.1. Para a consulta de licitantes pessoa jurídica poderá haver a substituição das consultas das alíneas “b”, “c” e “d” acima pela Consulta Consolidada de Pessoa Jurídica do TCU (</w:t>
      </w:r>
      <w:hyperlink r:id="rId6">
        <w:r>
          <w:rPr>
            <w:rStyle w:val="ListLabel30"/>
            <w:rFonts w:cs="Verdana" w:ascii="Arial" w:hAnsi="Arial"/>
            <w:b w:val="false"/>
            <w:bCs w:val="false"/>
            <w:color w:val="000080"/>
            <w:sz w:val="24"/>
            <w:szCs w:val="24"/>
            <w:u w:val="single"/>
            <w:lang w:eastAsia="ar-SA"/>
          </w:rPr>
          <w:t>https://certidoesapf.apps.tcu.gov.br/</w:t>
        </w:r>
      </w:hyperlink>
      <w:r>
        <w:rPr>
          <w:rFonts w:cs="Verdana" w:ascii="Arial" w:hAnsi="Arial"/>
          <w:b w:val="false"/>
          <w:bCs w:val="false"/>
          <w:sz w:val="24"/>
          <w:szCs w:val="24"/>
          <w:lang w:eastAsia="ar-SA"/>
        </w:rPr>
        <w:t>);</w:t>
      </w:r>
    </w:p>
    <w:p>
      <w:pPr>
        <w:pStyle w:val="Normal"/>
        <w:spacing w:lineRule="auto" w:line="360" w:before="57" w:after="57"/>
        <w:jc w:val="both"/>
        <w:rPr>
          <w:rFonts w:ascii="Arial" w:hAnsi="Arial"/>
          <w:sz w:val="24"/>
          <w:szCs w:val="24"/>
        </w:rPr>
      </w:pPr>
      <w:r>
        <w:rPr>
          <w:rFonts w:cs="Verdana" w:ascii="Arial" w:hAnsi="Arial"/>
          <w:b w:val="false"/>
          <w:bCs w:val="false"/>
          <w:color w:val="000000"/>
          <w:sz w:val="24"/>
          <w:szCs w:val="24"/>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102.1.2.3. O licitante será convocado para manifestação previamente à sua desclassificação.</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10.1.3 .Constatada a existência de sanção, o Pregoeiro reputará o licitante inabilitado, por falta de condição de participação.</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360" w:before="57" w:after="57"/>
        <w:ind w:hanging="0" w:left="0" w:right="0"/>
        <w:contextualSpacing/>
        <w:jc w:val="both"/>
        <w:rPr>
          <w:rFonts w:ascii="Arial" w:hAnsi="Arial"/>
          <w:sz w:val="24"/>
          <w:szCs w:val="24"/>
        </w:rPr>
      </w:pPr>
      <w:r>
        <w:rPr>
          <w:rFonts w:cs="Verdana" w:ascii="Arial" w:hAnsi="Arial"/>
          <w:b w:val="false"/>
          <w:bCs w:val="false"/>
          <w:sz w:val="24"/>
          <w:szCs w:val="24"/>
          <w:lang w:eastAsia="ar-SA"/>
        </w:rPr>
        <w:t xml:space="preserve">10.2 </w:t>
      </w:r>
      <w:r>
        <w:rPr>
          <w:rFonts w:cs="Verdana" w:ascii="Arial" w:hAnsi="Arial"/>
          <w:b w:val="false"/>
          <w:bCs w:val="false"/>
          <w:color w:val="000000"/>
          <w:sz w:val="24"/>
          <w:szCs w:val="24"/>
        </w:rPr>
        <w:t xml:space="preserve">Caso atendidas as condições de participação, </w:t>
      </w:r>
      <w:r>
        <w:rPr>
          <w:rFonts w:cs="Verdana" w:ascii="Arial" w:hAnsi="Arial"/>
          <w:b w:val="false"/>
          <w:bCs w:val="false"/>
          <w:sz w:val="24"/>
          <w:szCs w:val="24"/>
        </w:rPr>
        <w:t>a habilitação dos licitantes será verificada por meio do SICAF, nos documentos por ele abrangidos</w:t>
      </w:r>
      <w:r>
        <w:rPr>
          <w:rFonts w:cs="Verdana" w:ascii="Arial" w:hAnsi="Arial"/>
          <w:b w:val="false"/>
          <w:bCs w:val="false"/>
          <w:sz w:val="24"/>
          <w:szCs w:val="24"/>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sz w:val="24"/>
          <w:szCs w:val="24"/>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10.2.3 O descu</w:t>
      </w:r>
      <w:r>
        <w:rPr>
          <w:rFonts w:cs="Verdana" w:ascii="Arial" w:hAnsi="Arial"/>
          <w:color w:val="000000"/>
          <w:sz w:val="24"/>
          <w:szCs w:val="24"/>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sz w:val="24"/>
          <w:szCs w:val="24"/>
        </w:rPr>
        <w:t>10.4 Somente haverá a necessidade de comprovação do preenchimento de requisitos mediante apresentação dos documentos originais não-digitais quando houver dúvida em relação à integridade do documento digital.</w:t>
      </w:r>
    </w:p>
    <w:p>
      <w:pPr>
        <w:pStyle w:val="PADRO"/>
        <w:widowControl/>
        <w:shd w:fill="FFFFFF"/>
        <w:tabs>
          <w:tab w:val="clear" w:pos="708"/>
          <w:tab w:val="left" w:pos="567" w:leader="none"/>
        </w:tabs>
        <w:spacing w:lineRule="auto" w:line="360" w:before="57" w:after="57"/>
        <w:ind w:hanging="0" w:left="0" w:right="0"/>
        <w:rPr>
          <w:rFonts w:ascii="Arial" w:hAnsi="Arial"/>
          <w:sz w:val="24"/>
          <w:szCs w:val="24"/>
        </w:rPr>
      </w:pPr>
      <w:r>
        <w:rPr>
          <w:rFonts w:cs="Verdana" w:ascii="Arial" w:hAnsi="Arial"/>
          <w:b w:val="false"/>
          <w:bCs w:val="false"/>
          <w:sz w:val="24"/>
          <w:szCs w:val="24"/>
        </w:rPr>
        <w:t>10.5 Não serão aceitos documentos de habilitação com indicação de CNPJ/CPF diferentes, salvo aqueles legalmente permitidos.</w:t>
      </w:r>
    </w:p>
    <w:p>
      <w:pPr>
        <w:pStyle w:val="PADRO"/>
        <w:widowControl/>
        <w:shd w:fill="FFFFFF"/>
        <w:tabs>
          <w:tab w:val="clear" w:pos="708"/>
          <w:tab w:val="left" w:pos="567" w:leader="none"/>
        </w:tabs>
        <w:spacing w:lineRule="auto" w:line="360" w:before="57" w:after="57"/>
        <w:ind w:hanging="0" w:left="0" w:right="0"/>
        <w:rPr>
          <w:rFonts w:ascii="Arial" w:hAnsi="Arial"/>
          <w:sz w:val="24"/>
          <w:szCs w:val="24"/>
        </w:rPr>
      </w:pPr>
      <w:r>
        <w:rPr>
          <w:rFonts w:cs="Verdana" w:ascii="Arial" w:hAnsi="Arial"/>
          <w:b w:val="false"/>
          <w:bCs w:val="false"/>
          <w:sz w:val="24"/>
          <w:szCs w:val="24"/>
        </w:rPr>
        <w:t>10.6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tabs>
          <w:tab w:val="clear" w:pos="708"/>
          <w:tab w:val="left" w:pos="567" w:leader="none"/>
        </w:tabs>
        <w:spacing w:lineRule="auto" w:line="360" w:before="57" w:after="57"/>
        <w:ind w:hanging="0" w:left="0" w:right="0"/>
        <w:rPr>
          <w:rFonts w:ascii="Arial" w:hAnsi="Arial"/>
          <w:sz w:val="24"/>
          <w:szCs w:val="24"/>
        </w:rPr>
      </w:pPr>
      <w:r>
        <w:rPr>
          <w:rFonts w:cs="Verdana" w:ascii="Arial" w:hAnsi="Arial"/>
          <w:b w:val="false"/>
          <w:bCs w:val="false"/>
          <w:color w:val="000000"/>
          <w:sz w:val="24"/>
          <w:szCs w:val="24"/>
        </w:rPr>
        <w:t>10.7</w:t>
      </w:r>
      <w:r>
        <w:rPr>
          <w:rFonts w:cs="Verdana" w:ascii="Arial" w:hAnsi="Arial"/>
          <w:color w:val="000000"/>
          <w:sz w:val="24"/>
          <w:szCs w:val="24"/>
        </w:rPr>
        <w:t xml:space="preserve"> Ressalvado o disposto no item 5.3, os licitantes deverão encaminhar, nos termos deste Edital, a documentação relacionada nos itens a seguir, para fins de habilitação:</w:t>
      </w:r>
    </w:p>
    <w:p>
      <w:pPr>
        <w:pStyle w:val="PADRO"/>
        <w:widowControl/>
        <w:shd w:fill="FFFFFF"/>
        <w:tabs>
          <w:tab w:val="clear" w:pos="708"/>
          <w:tab w:val="left" w:pos="567" w:leader="none"/>
        </w:tabs>
        <w:spacing w:lineRule="auto" w:line="240" w:before="0" w:after="0"/>
        <w:ind w:hanging="0" w:left="0" w:right="0"/>
        <w:rPr>
          <w:rFonts w:ascii="Arial" w:hAnsi="Arial" w:cs="Arial"/>
          <w:b/>
          <w:sz w:val="24"/>
          <w:szCs w:val="24"/>
          <w:u w:val="single"/>
        </w:rPr>
      </w:pPr>
      <w:r>
        <w:rPr>
          <w:rFonts w:cs="Arial" w:ascii="Arial" w:hAnsi="Arial"/>
          <w:b/>
          <w:sz w:val="24"/>
          <w:szCs w:val="24"/>
          <w:u w:val="single"/>
        </w:rPr>
      </w:r>
    </w:p>
    <w:p>
      <w:pPr>
        <w:pStyle w:val="ListParagraph"/>
        <w:spacing w:lineRule="auto" w:line="276" w:before="57" w:after="57"/>
        <w:ind w:hanging="0" w:left="0" w:right="0"/>
        <w:contextualSpacing/>
        <w:jc w:val="both"/>
        <w:rPr>
          <w:rFonts w:ascii="Arial" w:hAnsi="Arial"/>
          <w:sz w:val="24"/>
          <w:szCs w:val="24"/>
        </w:rPr>
      </w:pPr>
      <w:r>
        <w:rPr>
          <w:rFonts w:cs="Verdana" w:ascii="Arial" w:hAnsi="Arial"/>
          <w:b/>
          <w:bCs/>
          <w:color w:val="000000"/>
          <w:sz w:val="24"/>
          <w:szCs w:val="24"/>
        </w:rPr>
        <w:tab/>
        <w:t>10.8 Habilitação jurídica:</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10.8.1 No caso de empresário individual: inscrição no Registro Público de Empresas Mercantis, a cargo da Junta Comercial da respectiva sede;</w:t>
      </w:r>
    </w:p>
    <w:p>
      <w:pPr>
        <w:pStyle w:val="ListParagraph"/>
        <w:spacing w:lineRule="auto" w:line="360" w:before="57" w:after="57"/>
        <w:ind w:hanging="0" w:left="0" w:right="0"/>
        <w:contextualSpacing/>
        <w:jc w:val="both"/>
        <w:rPr/>
      </w:pPr>
      <w:r>
        <w:rPr>
          <w:rFonts w:cs="Verdana" w:ascii="Arial" w:hAnsi="Arial"/>
          <w:b w:val="false"/>
          <w:bCs w:val="false"/>
          <w:color w:val="000000"/>
          <w:sz w:val="24"/>
          <w:szCs w:val="24"/>
        </w:rPr>
        <w:t xml:space="preserve">10.8.2 Em se tratando de microempreendedor individual – MEI: Certificado da Condição de Microempreendedor Individual – CCMEI, cuja aceitação ficará condicionada à verificação da autenticidade no sítio </w:t>
      </w:r>
      <w:hyperlink r:id="rId7">
        <w:r>
          <w:rPr>
            <w:rStyle w:val="ListLabel32"/>
            <w:rFonts w:cs="Verdana" w:ascii="Arial" w:hAnsi="Arial"/>
            <w:b w:val="false"/>
            <w:bCs w:val="false"/>
            <w:color w:val="000000"/>
            <w:sz w:val="24"/>
            <w:szCs w:val="24"/>
            <w:u w:val="single"/>
          </w:rPr>
          <w:t>www.portaldoempreendedor.gov.br</w:t>
        </w:r>
      </w:hyperlink>
      <w:r>
        <w:rPr>
          <w:rFonts w:cs="Verdana" w:ascii="Arial" w:hAnsi="Arial"/>
          <w:b w:val="false"/>
          <w:bCs w:val="false"/>
          <w:color w:val="000000"/>
          <w:sz w:val="24"/>
          <w:szCs w:val="24"/>
        </w:rPr>
        <w:t>;</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10.8.4 Inscrição no Registro Público de Empresas Mercantis onde opera, com averbação no Registro onde tem sede a matriz, no caso de ser o participante sucursal, filial ou agência;</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10.8.5 No caso de sociedade simples: inscrição do ato constitutivo no Registro Civil das Pessoas Jurídicas do local de sua sede, acompanhada de prova da indicação dos seus administradores;</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10.8.6</w:t>
      </w:r>
      <w:r>
        <w:rPr>
          <w:rFonts w:cs="Verdana" w:ascii="Arial" w:hAnsi="Arial"/>
          <w:b/>
          <w:bCs/>
          <w:color w:val="000000"/>
          <w:sz w:val="24"/>
          <w:szCs w:val="24"/>
        </w:rPr>
        <w:t xml:space="preserve"> </w:t>
      </w:r>
      <w:r>
        <w:rPr>
          <w:rFonts w:cs="Verdana" w:ascii="Arial" w:hAnsi="Arial"/>
          <w:bCs/>
          <w:color w:val="000000"/>
          <w:sz w:val="24"/>
          <w:szCs w:val="24"/>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10.8.7 No caso de empresa ou sociedade estrangeira em funcionamento no País: decreto de autorização;</w:t>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val="false"/>
          <w:bCs w:val="false"/>
          <w:color w:val="000000"/>
          <w:sz w:val="24"/>
          <w:szCs w:val="24"/>
        </w:rPr>
        <w:t>10.8.8 Os documentos acima deverão estar acompanhados de todas as alterações ou da c</w:t>
      </w:r>
      <w:r>
        <w:rPr>
          <w:rFonts w:cs="Verdana" w:ascii="Arial" w:hAnsi="Arial"/>
          <w:bCs/>
          <w:color w:val="000000"/>
          <w:sz w:val="24"/>
          <w:szCs w:val="24"/>
        </w:rPr>
        <w:t>onsolidação respectiva;</w:t>
      </w:r>
    </w:p>
    <w:p>
      <w:pPr>
        <w:pStyle w:val="ListParagraph"/>
        <w:spacing w:lineRule="auto" w:line="360" w:before="57" w:after="57"/>
        <w:ind w:hanging="0" w:left="0" w:right="0"/>
        <w:contextualSpacing/>
        <w:jc w:val="both"/>
        <w:rPr>
          <w:rFonts w:ascii="Arial" w:hAnsi="Arial"/>
          <w:sz w:val="24"/>
          <w:szCs w:val="24"/>
        </w:rPr>
      </w:pPr>
      <w:r>
        <w:rPr/>
      </w:r>
    </w:p>
    <w:p>
      <w:pPr>
        <w:pStyle w:val="ListParagraph"/>
        <w:spacing w:lineRule="auto" w:line="240"/>
        <w:ind w:hanging="0" w:left="0" w:right="0"/>
        <w:jc w:val="both"/>
        <w:rPr>
          <w:rFonts w:ascii="Arial" w:hAnsi="Arial" w:cs="Arial"/>
          <w:b/>
          <w:sz w:val="24"/>
          <w:szCs w:val="24"/>
          <w:u w:val="single"/>
        </w:rPr>
      </w:pPr>
      <w:r>
        <w:rPr>
          <w:rFonts w:cs="Arial" w:ascii="Arial" w:hAnsi="Arial"/>
          <w:b/>
          <w:sz w:val="24"/>
          <w:szCs w:val="24"/>
          <w:u w:val="single"/>
        </w:rPr>
      </w:r>
    </w:p>
    <w:p>
      <w:pPr>
        <w:pStyle w:val="ListParagraph"/>
        <w:spacing w:lineRule="auto" w:line="276" w:before="57" w:after="57"/>
        <w:ind w:hanging="0" w:left="0" w:right="0"/>
        <w:contextualSpacing/>
        <w:jc w:val="both"/>
        <w:rPr>
          <w:rFonts w:ascii="Arial" w:hAnsi="Arial"/>
          <w:sz w:val="24"/>
          <w:szCs w:val="24"/>
        </w:rPr>
      </w:pPr>
      <w:r>
        <w:rPr>
          <w:rFonts w:cs="Verdana" w:ascii="Arial" w:hAnsi="Arial"/>
          <w:b/>
          <w:bCs/>
          <w:color w:val="000000"/>
          <w:sz w:val="24"/>
          <w:szCs w:val="24"/>
        </w:rPr>
        <w:tab/>
        <w:t xml:space="preserve">10.9. Regularidade fiscal </w:t>
      </w:r>
      <w:r>
        <w:rPr>
          <w:rFonts w:cs="Verdana" w:ascii="Arial" w:hAnsi="Arial"/>
          <w:b/>
          <w:bCs/>
          <w:sz w:val="24"/>
          <w:szCs w:val="24"/>
        </w:rPr>
        <w:t>e trabalhista</w:t>
      </w:r>
      <w:r>
        <w:rPr>
          <w:rFonts w:cs="Verdana" w:ascii="Arial" w:hAnsi="Arial"/>
          <w:b/>
          <w:bCs/>
          <w:color w:val="0000FF"/>
          <w:sz w:val="24"/>
          <w:szCs w:val="24"/>
        </w:rPr>
        <w:t>:</w:t>
      </w:r>
    </w:p>
    <w:p>
      <w:pPr>
        <w:pStyle w:val="Normal"/>
        <w:spacing w:lineRule="auto" w:line="360" w:before="57" w:after="57"/>
        <w:jc w:val="both"/>
        <w:rPr>
          <w:rFonts w:ascii="Arial" w:hAnsi="Arial"/>
          <w:sz w:val="24"/>
          <w:szCs w:val="24"/>
        </w:rPr>
      </w:pPr>
      <w:r>
        <w:rPr>
          <w:rFonts w:cs="Verdana" w:ascii="Arial" w:hAnsi="Arial"/>
          <w:b w:val="false"/>
          <w:bCs w:val="false"/>
          <w:sz w:val="24"/>
          <w:szCs w:val="24"/>
          <w:lang w:eastAsia="en-US"/>
        </w:rPr>
        <w:t>10.9.1 Prova de inscrição no Cadastro Nacional de Pessoas Jurídicas ou no Cadastro de Pessoas Físicas, conforme o caso;</w:t>
      </w:r>
    </w:p>
    <w:p>
      <w:pPr>
        <w:pStyle w:val="Normal"/>
        <w:spacing w:lineRule="auto" w:line="360" w:before="57" w:after="57"/>
        <w:jc w:val="both"/>
        <w:rPr>
          <w:rFonts w:ascii="Arial" w:hAnsi="Arial"/>
          <w:sz w:val="24"/>
          <w:szCs w:val="24"/>
        </w:rPr>
      </w:pPr>
      <w:r>
        <w:rPr>
          <w:rFonts w:cs="Verdana" w:ascii="Arial" w:hAnsi="Arial"/>
          <w:b w:val="false"/>
          <w:bCs w:val="false"/>
          <w:sz w:val="24"/>
          <w:szCs w:val="24"/>
          <w:lang w:eastAsia="en-US"/>
        </w:rPr>
        <w:t>10.9.2 Certidão de regularidade junto à fazenda pública Municipal, do domicílio do Licitante;</w:t>
      </w:r>
    </w:p>
    <w:p>
      <w:pPr>
        <w:pStyle w:val="Normal"/>
        <w:spacing w:lineRule="auto" w:line="360" w:before="57" w:after="57"/>
        <w:jc w:val="both"/>
        <w:rPr>
          <w:rFonts w:ascii="Arial" w:hAnsi="Arial"/>
          <w:sz w:val="24"/>
          <w:szCs w:val="24"/>
        </w:rPr>
      </w:pPr>
      <w:r>
        <w:rPr>
          <w:rFonts w:cs="Verdana" w:ascii="Arial" w:hAnsi="Arial"/>
          <w:b w:val="false"/>
          <w:bCs w:val="false"/>
          <w:sz w:val="24"/>
          <w:szCs w:val="24"/>
        </w:rPr>
        <w:t>10.9.3 Certidão de regularidade junto à fazenda pública Estadual, do domicílio do Licitante;</w:t>
      </w:r>
    </w:p>
    <w:p>
      <w:pPr>
        <w:pStyle w:val="Normal"/>
        <w:spacing w:lineRule="auto" w:line="360" w:before="57" w:after="57"/>
        <w:jc w:val="both"/>
        <w:rPr>
          <w:rFonts w:ascii="Arial" w:hAnsi="Arial"/>
          <w:sz w:val="24"/>
          <w:szCs w:val="24"/>
        </w:rPr>
      </w:pPr>
      <w:r>
        <w:rPr>
          <w:rFonts w:cs="Verdana" w:ascii="Arial" w:hAnsi="Arial"/>
          <w:b w:val="false"/>
          <w:bCs w:val="false"/>
          <w:sz w:val="24"/>
          <w:szCs w:val="24"/>
        </w:rPr>
        <w:t>10.9.4 Certidão conjunta de regularidade junto à fazenda pública Federal, (Quitação de tributos e contribuições Federais e Quanto à dívida ativa da União) e junto ao INSS, conforme Portaria MF nº 358 de 05/09/2014;</w:t>
      </w:r>
    </w:p>
    <w:p>
      <w:pPr>
        <w:pStyle w:val="Normal"/>
        <w:spacing w:lineRule="auto" w:line="360" w:before="57" w:after="57"/>
        <w:jc w:val="both"/>
        <w:rPr>
          <w:rFonts w:ascii="Arial" w:hAnsi="Arial"/>
          <w:sz w:val="24"/>
          <w:szCs w:val="24"/>
        </w:rPr>
      </w:pPr>
      <w:r>
        <w:rPr>
          <w:rFonts w:cs="Verdana" w:ascii="Arial" w:hAnsi="Arial"/>
          <w:b w:val="false"/>
          <w:bCs w:val="false"/>
          <w:sz w:val="24"/>
          <w:szCs w:val="24"/>
        </w:rPr>
        <w:t>10.9.5 Certidão de regularidade junto ao FGTS;</w:t>
      </w:r>
    </w:p>
    <w:p>
      <w:pPr>
        <w:pStyle w:val="Normal"/>
        <w:spacing w:lineRule="auto" w:line="360" w:before="57" w:after="57"/>
        <w:jc w:val="both"/>
        <w:rPr>
          <w:rFonts w:ascii="Arial" w:hAnsi="Arial"/>
          <w:sz w:val="24"/>
          <w:szCs w:val="24"/>
        </w:rPr>
      </w:pPr>
      <w:r>
        <w:rPr>
          <w:rFonts w:cs="Verdana" w:ascii="Arial" w:hAnsi="Arial"/>
          <w:b w:val="false"/>
          <w:bCs w:val="false"/>
          <w:sz w:val="24"/>
          <w:szCs w:val="24"/>
          <w:lang w:eastAsia="en-US"/>
        </w:rPr>
        <w:t>10.9.6 Certidão Negativa De Débitos Trabalhistas (CNDT) de acordo com a Lei 12440 de 7 de julho de 2011.</w:t>
      </w:r>
    </w:p>
    <w:p>
      <w:pPr>
        <w:pStyle w:val="Normal"/>
        <w:spacing w:lineRule="auto" w:line="360" w:before="57" w:after="57"/>
        <w:jc w:val="both"/>
        <w:rPr>
          <w:rFonts w:ascii="Arial" w:hAnsi="Arial"/>
          <w:sz w:val="24"/>
          <w:szCs w:val="24"/>
        </w:rPr>
      </w:pPr>
      <w:r>
        <w:rPr>
          <w:rFonts w:cs="Verdana" w:ascii="Arial" w:hAnsi="Arial"/>
          <w:b w:val="false"/>
          <w:bCs w:val="false"/>
          <w:color w:val="000000"/>
          <w:sz w:val="24"/>
          <w:szCs w:val="24"/>
          <w:lang w:eastAsia="en-US" w:bidi="pt-BR"/>
        </w:rPr>
        <w:t xml:space="preserve">10.9.7 Caso o vencedor do menor preço seja qualificado como microempresa ou empresa de pequeno porte </w:t>
      </w:r>
      <w:r>
        <w:rPr>
          <w:rFonts w:cs="Verdana" w:ascii="Arial" w:hAnsi="Arial"/>
          <w:b w:val="false"/>
          <w:bCs w:val="false"/>
          <w:color w:val="000000"/>
          <w:sz w:val="24"/>
          <w:szCs w:val="24"/>
          <w:lang w:eastAsia="en-US"/>
        </w:rPr>
        <w:t>deverá apresentar toda a documentação exigida para efeito de compr</w:t>
      </w:r>
      <w:r>
        <w:rPr>
          <w:rFonts w:cs="Verdana" w:ascii="Arial" w:hAnsi="Arial"/>
          <w:color w:val="000000"/>
          <w:sz w:val="24"/>
          <w:szCs w:val="24"/>
          <w:lang w:eastAsia="en-US"/>
        </w:rPr>
        <w:t>ovação de regularidade fiscal, mesmo que esta apresente alguma restrição, sob pena de inabilitação.</w:t>
      </w:r>
    </w:p>
    <w:p>
      <w:pPr>
        <w:pStyle w:val="Normal"/>
        <w:spacing w:lineRule="auto" w:line="240"/>
        <w:jc w:val="both"/>
        <w:rPr>
          <w:rFonts w:ascii="Arial" w:hAnsi="Arial" w:cs="Verdana"/>
          <w:color w:val="000000"/>
          <w:sz w:val="24"/>
          <w:szCs w:val="24"/>
          <w:lang w:eastAsia="en-US"/>
        </w:rPr>
      </w:pPr>
      <w:r>
        <w:rPr>
          <w:rFonts w:cs="Verdana" w:ascii="Arial" w:hAnsi="Arial"/>
          <w:color w:val="000000"/>
          <w:sz w:val="24"/>
          <w:szCs w:val="24"/>
          <w:lang w:eastAsia="en-US"/>
        </w:rPr>
      </w:r>
    </w:p>
    <w:p>
      <w:pPr>
        <w:pStyle w:val="ListParagraph"/>
        <w:spacing w:lineRule="auto" w:line="360" w:before="57" w:after="57"/>
        <w:ind w:hanging="0" w:left="0" w:right="0"/>
        <w:contextualSpacing/>
        <w:jc w:val="both"/>
        <w:rPr>
          <w:rFonts w:ascii="Arial" w:hAnsi="Arial"/>
          <w:sz w:val="24"/>
          <w:szCs w:val="24"/>
        </w:rPr>
      </w:pPr>
      <w:r>
        <w:rPr>
          <w:rFonts w:cs="Verdana" w:ascii="Arial" w:hAnsi="Arial"/>
          <w:b/>
          <w:color w:val="000000"/>
          <w:sz w:val="24"/>
          <w:szCs w:val="24"/>
        </w:rPr>
        <w:tab/>
        <w:t>10.10 Qualificação Econômico-Financeira</w:t>
      </w:r>
      <w:r>
        <w:rPr>
          <w:rFonts w:cs="Verdana" w:ascii="Arial" w:hAnsi="Arial"/>
          <w:color w:val="000000"/>
          <w:sz w:val="24"/>
          <w:szCs w:val="24"/>
        </w:rPr>
        <w:t>.</w:t>
      </w:r>
    </w:p>
    <w:p>
      <w:pPr>
        <w:pStyle w:val="Normal"/>
        <w:tabs>
          <w:tab w:val="clear" w:pos="708"/>
          <w:tab w:val="left" w:pos="850" w:leader="none"/>
        </w:tabs>
        <w:spacing w:lineRule="auto" w:line="360" w:before="57" w:after="57"/>
        <w:jc w:val="both"/>
        <w:rPr>
          <w:rFonts w:ascii="Arial" w:hAnsi="Arial"/>
          <w:sz w:val="24"/>
          <w:szCs w:val="24"/>
        </w:rPr>
      </w:pPr>
      <w:r>
        <w:rPr>
          <w:rFonts w:cs="Verdana" w:ascii="Arial" w:hAnsi="Arial"/>
          <w:b w:val="false"/>
          <w:bCs w:val="false"/>
          <w:color w:val="000000"/>
          <w:sz w:val="24"/>
          <w:szCs w:val="24"/>
          <w:u w:val="none"/>
        </w:rPr>
        <w:t>10.10.1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pacing w:lineRule="auto" w:line="360" w:before="57" w:after="57"/>
        <w:jc w:val="both"/>
        <w:rPr>
          <w:rFonts w:ascii="Arial" w:hAnsi="Arial"/>
          <w:sz w:val="24"/>
          <w:szCs w:val="24"/>
        </w:rPr>
      </w:pPr>
      <w:r>
        <w:rPr>
          <w:rFonts w:cs="Verdana" w:ascii="Arial" w:hAnsi="Arial"/>
          <w:b w:val="false"/>
          <w:bCs w:val="false"/>
          <w:color w:val="000000"/>
          <w:sz w:val="24"/>
          <w:szCs w:val="24"/>
          <w:u w:val="none"/>
        </w:rPr>
        <w:t>10.10.2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360" w:before="57" w:after="57"/>
        <w:ind w:hanging="0" w:left="-57" w:right="0"/>
        <w:jc w:val="both"/>
        <w:rPr>
          <w:rFonts w:ascii="Arial" w:hAnsi="Arial"/>
          <w:sz w:val="24"/>
          <w:szCs w:val="24"/>
        </w:rPr>
      </w:pPr>
      <w:r>
        <w:rPr>
          <w:rFonts w:cs="Verdana" w:ascii="Arial" w:hAnsi="Arial"/>
          <w:b w:val="false"/>
          <w:bCs w:val="false"/>
          <w:sz w:val="24"/>
          <w:szCs w:val="24"/>
          <w:u w:val="none"/>
        </w:rPr>
        <w:t>10.10.3 Para a contagem do prazo estabelecido na letra “a” deste capítulo, será contado a partir do primeiro dia que antecede a data da realização desta dispensa de licitação.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b w:val="false"/>
          <w:bCs w:val="false"/>
          <w:iCs/>
          <w:color w:val="000000"/>
          <w:sz w:val="24"/>
          <w:szCs w:val="24"/>
          <w:u w:val="none"/>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b/>
          <w:bCs/>
          <w:iCs/>
          <w:color w:val="000000"/>
          <w:sz w:val="24"/>
          <w:szCs w:val="24"/>
          <w:lang w:eastAsia="en-US"/>
        </w:rPr>
        <w:t>11. DAS OBRIGAÇÕES DA CONTRATADA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11.1. Entregar o objeto de forma pessoal ou por pessoa (física ou jurídica) na qualidade de seu representante direto, não podendo transferir a terceiros, nem mesmo à Empresa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Brasileira de Correios e Telégrafos, a sua execução.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 xml:space="preserve">11.1.1. Valendo-se a CONTRATADA de terceiros para efetuar a entrega dos equipamentos, o CONTRATANTE, por meio </w:t>
      </w:r>
      <w:r>
        <w:rPr>
          <w:rFonts w:eastAsia="Times New Roman" w:cs="Verdana" w:ascii="Arial" w:hAnsi="Arial"/>
          <w:iCs/>
          <w:color w:val="000000"/>
          <w:kern w:val="0"/>
          <w:sz w:val="24"/>
          <w:szCs w:val="24"/>
          <w:lang w:val="pt-BR" w:eastAsia="en-US" w:bidi="ar-SA"/>
        </w:rPr>
        <w:t>de representante</w:t>
      </w:r>
      <w:r>
        <w:rPr>
          <w:rFonts w:cs="Verdana" w:ascii="Arial" w:hAnsi="Arial"/>
          <w:iCs/>
          <w:color w:val="000000"/>
          <w:sz w:val="24"/>
          <w:szCs w:val="24"/>
          <w:lang w:eastAsia="en-US"/>
        </w:rPr>
        <w:t>, poderá recusar o recebimento, sem exclusão das sanções cabíveis.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11.2. Respeitar os prazos, condições e especificações estabelecidas neste Termo de</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Referência.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11.3. Entregar os equipamentos acondicionados em embalagens originais, devidamente identificadas e lacradas.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11.4. Fazer acompanhar o respectivo manual do usuário dos equipamentos com uma versão em português.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11.5. Responsabilizar-se por eventuais danos causados aos equipamentos nos procedimentos de transporte, guarda e entrega.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11.6. Comunicar, no prazo mínimo de 48 (quarenta e oito) horas de antecedência, a ocorrência de casos fortuitos que impeçam ou atrasem a execução do estabelecido neste Termo de Referência, no tocante à entrega dos equipamentos.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11.7. Responsabilizar-se pelos custos referentes ao transporte e guarda dos equipamentos antes de sua entrega no local indicado.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11.8. Manter-se, durante a vigência do contrato, todas as condições exigidas para habilitação, em observância à legislação vigente.</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11.9. Prestar esclarecimentos técnicos à secretaria requisitante no que se refere ao objeto da aquisição, sempre que solicitada.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11.10. Responsabilizar-se integralmente pelos encargos trabalhistas, previdenciários, fiscais, comerciais e de responsabilidade civil, bem como outros encargos, taxas e impostos decorrentes da execução do contrato.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 xml:space="preserve">11.11. Apresentar à </w:t>
      </w:r>
      <w:r>
        <w:rPr>
          <w:rFonts w:eastAsia="Times New Roman" w:cs="Verdana" w:ascii="Arial" w:hAnsi="Arial"/>
          <w:iCs/>
          <w:color w:val="000000"/>
          <w:kern w:val="0"/>
          <w:sz w:val="24"/>
          <w:szCs w:val="24"/>
          <w:lang w:val="pt-BR" w:eastAsia="en-US" w:bidi="ar-SA"/>
        </w:rPr>
        <w:t>requisitante</w:t>
      </w:r>
      <w:r>
        <w:rPr>
          <w:rFonts w:cs="Verdana" w:ascii="Arial" w:hAnsi="Arial"/>
          <w:iCs/>
          <w:color w:val="000000"/>
          <w:sz w:val="24"/>
          <w:szCs w:val="24"/>
          <w:lang w:eastAsia="en-US"/>
        </w:rPr>
        <w:t>, inclusive para fins de liberação do pagamento, notas fiscais de todos os equipamentos.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11.13. Que sejam observados os requisitos ambientais para a obtenção de certificação do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Instituto Nacional de Metrologia, Normalização e Qualidade Industrial – INMETRO, como produtos sustentáveis ou de menor impacto ambiental em relação aos seus similares.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11.14. Que os bens devam ser, preferencialmente, acondicionados em embalagem individual adequada, com o menor volume possível, que utilize materiais recicláveis, de forma a garantir a máxima proteção durante o transporte e o armazenamento.</w:t>
      </w:r>
    </w:p>
    <w:p>
      <w:pPr>
        <w:pStyle w:val="Normal"/>
        <w:tabs>
          <w:tab w:val="clear" w:pos="708"/>
          <w:tab w:val="left" w:pos="850" w:leader="none"/>
        </w:tabs>
        <w:spacing w:lineRule="auto" w:line="276" w:before="57" w:after="57"/>
        <w:ind w:hanging="0" w:left="-79" w:right="0"/>
        <w:jc w:val="both"/>
        <w:rPr/>
      </w:pPr>
      <w:r>
        <w:rPr/>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b/>
          <w:bCs/>
          <w:iCs/>
          <w:color w:val="000000"/>
          <w:sz w:val="24"/>
          <w:szCs w:val="24"/>
          <w:lang w:eastAsia="en-US"/>
        </w:rPr>
        <w:t>12. DAS OBRIGAÇÕES DO CONTRATANTE</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12.1. Cumprir todos os compromissos financeiros assumidos com a CONTRATADA.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12.2. Comunicar à CONTRATADA toda e qualquer situação que fuja ao fiel cumprimento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deste Termo de Referência pela mesma, dando, sempre que possível, orientações para sanar quaisquer vícios.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12.3. Emitir notificação, no prazo de 5 (cinco) dias úteis, contados a partir da ciência do fato, sobre ocorrência de irregularidades na execução do contrato, convocando a CONTRATADA para sanar tais irregularidades.</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12.4. Receber e avaliar o objeto, pronunciando-se acerca do atendimento ou não das especificações estabelecidas neste Termo de Referência.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12.5. Atuar de forma ampla e completa no acompanhamento da execução do objeto.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12.6. Prestar, por meio da Assessoria de Comunicação, esclarecimentos e informações necessárias à CONTRATADA no sentido de contribuir com a mesma para a plena execução do objeto.</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12.7. Atestar nota fiscal/fatura mensal em concordância com o fornecimento dos equipamentos e as condições estabelecidas no contrato, a fim de que seja efetuado o devido pagamento pelo setor.</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12.8. Fiscalizar o cumprimento das obrigações assumidas pela CONTRATADA.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12.9. Efetuar, por escrito, solicitação de reparo/troca à CONTRATADA quando ocorrer</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defeito, dentro do prazo da garantia estipulada.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12.10.  O CONTRATANTE não responderá por quaisquer compromissos assumidos pela</w:t>
      </w:r>
    </w:p>
    <w:p>
      <w:pPr>
        <w:pStyle w:val="Normal"/>
        <w:tabs>
          <w:tab w:val="clear" w:pos="708"/>
          <w:tab w:val="left" w:pos="850" w:leader="none"/>
        </w:tabs>
        <w:spacing w:lineRule="auto" w:line="360" w:before="57" w:after="57"/>
        <w:ind w:hanging="0" w:left="-79" w:right="0"/>
        <w:jc w:val="both"/>
        <w:rPr>
          <w:rFonts w:ascii="Arial" w:hAnsi="Arial"/>
          <w:sz w:val="24"/>
          <w:szCs w:val="24"/>
        </w:rPr>
      </w:pPr>
      <w:r>
        <w:rPr>
          <w:rFonts w:cs="Verdana" w:ascii="Arial" w:hAnsi="Arial"/>
          <w:iCs/>
          <w:color w:val="000000"/>
          <w:sz w:val="24"/>
          <w:szCs w:val="24"/>
          <w:lang w:eastAsia="en-US"/>
        </w:rPr>
        <w:t>CONTRATADA com terceiros, ainda que vinculados à execução do presente objeto, bem</w:t>
      </w:r>
    </w:p>
    <w:p>
      <w:pPr>
        <w:pStyle w:val="Normal"/>
        <w:tabs>
          <w:tab w:val="clear" w:pos="708"/>
          <w:tab w:val="left" w:pos="850" w:leader="none"/>
        </w:tabs>
        <w:spacing w:lineRule="auto" w:line="360" w:before="0" w:after="0"/>
        <w:ind w:hanging="0" w:left="-79" w:right="0"/>
        <w:jc w:val="both"/>
        <w:rPr>
          <w:rFonts w:ascii="Arial" w:hAnsi="Arial"/>
          <w:sz w:val="24"/>
          <w:szCs w:val="24"/>
        </w:rPr>
      </w:pPr>
      <w:r>
        <w:rPr>
          <w:rFonts w:cs="Verdana" w:ascii="Arial" w:hAnsi="Arial"/>
          <w:iCs/>
          <w:color w:val="000000"/>
          <w:sz w:val="24"/>
          <w:szCs w:val="24"/>
          <w:lang w:eastAsia="en-US"/>
        </w:rPr>
        <w:t>como por qualquer dano causado a terceiros em decorrência de ato da CONTRATADA, de seus empregados, prepostos ou subordinados.</w:t>
      </w:r>
    </w:p>
    <w:p>
      <w:pPr>
        <w:pStyle w:val="Normal"/>
        <w:suppressAutoHyphens w:val="false"/>
        <w:spacing w:lineRule="auto" w:line="240" w:before="0" w:after="0"/>
        <w:jc w:val="both"/>
        <w:rPr>
          <w:rFonts w:ascii="Arial" w:hAnsi="Arial" w:cs="Verdana"/>
          <w:b/>
          <w:iCs/>
          <w:color w:val="000000"/>
          <w:sz w:val="24"/>
          <w:szCs w:val="24"/>
          <w:lang w:eastAsia="en-US"/>
        </w:rPr>
      </w:pPr>
      <w:r>
        <w:rPr/>
      </w:r>
    </w:p>
    <w:p>
      <w:pPr>
        <w:pStyle w:val="Normal"/>
        <w:suppressAutoHyphens w:val="false"/>
        <w:spacing w:lineRule="auto" w:line="360" w:before="0" w:after="0"/>
        <w:jc w:val="both"/>
        <w:rPr/>
      </w:pPr>
      <w:r>
        <w:rPr>
          <w:rFonts w:cs="Arial" w:ascii="Arial" w:hAnsi="Arial"/>
          <w:b/>
          <w:color w:val="000000"/>
          <w:sz w:val="24"/>
          <w:szCs w:val="24"/>
        </w:rPr>
        <w:t>13. CONTRATAÇÕES CORRELATAS E/OU INTERDEPENDENTES</w:t>
      </w:r>
    </w:p>
    <w:p>
      <w:pPr>
        <w:pStyle w:val="Normal"/>
        <w:widowControl/>
        <w:numPr>
          <w:ilvl w:val="0"/>
          <w:numId w:val="0"/>
        </w:numPr>
        <w:suppressAutoHyphens w:val="false"/>
        <w:bidi w:val="0"/>
        <w:spacing w:lineRule="auto" w:line="360" w:before="0" w:after="0"/>
        <w:ind w:hanging="0" w:left="0" w:right="0"/>
        <w:jc w:val="both"/>
        <w:rPr>
          <w:rFonts w:ascii="Arial" w:hAnsi="Arial"/>
        </w:rPr>
      </w:pPr>
      <w:r>
        <w:rPr>
          <w:rFonts w:cs="Arial" w:ascii="Arial" w:hAnsi="Arial"/>
          <w:b w:val="false"/>
          <w:bCs w:val="false"/>
          <w:color w:val="000000"/>
          <w:sz w:val="24"/>
          <w:szCs w:val="24"/>
        </w:rPr>
        <w:t>13.1.</w:t>
      </w:r>
      <w:r>
        <w:rPr>
          <w:rFonts w:cs="Arial" w:ascii="Arial" w:hAnsi="Arial"/>
          <w:color w:val="000000"/>
          <w:sz w:val="24"/>
          <w:szCs w:val="24"/>
        </w:rPr>
        <w:t xml:space="preserve"> Não se verifica aquisições correlatas ou interdependentes para a viabilidade e contratação desta demanda.</w:t>
      </w:r>
    </w:p>
    <w:p>
      <w:pPr>
        <w:pStyle w:val="Normal"/>
        <w:spacing w:lineRule="auto" w:line="240" w:before="0" w:after="0"/>
        <w:jc w:val="both"/>
        <w:rPr>
          <w:rFonts w:ascii="Arial" w:hAnsi="Arial" w:cs="Arial"/>
          <w:color w:val="C9211E"/>
          <w:sz w:val="24"/>
          <w:szCs w:val="24"/>
        </w:rPr>
      </w:pPr>
      <w:r>
        <w:rPr>
          <w:rFonts w:cs="Arial" w:ascii="Arial" w:hAnsi="Arial"/>
          <w:color w:val="C9211E"/>
          <w:sz w:val="24"/>
          <w:szCs w:val="24"/>
        </w:rPr>
      </w:r>
    </w:p>
    <w:p>
      <w:pPr>
        <w:pStyle w:val="Normal"/>
        <w:suppressAutoHyphens w:val="false"/>
        <w:spacing w:lineRule="auto" w:line="360" w:before="0" w:after="0"/>
        <w:jc w:val="both"/>
        <w:rPr>
          <w:rFonts w:ascii="Arial" w:hAnsi="Arial"/>
        </w:rPr>
      </w:pPr>
      <w:r>
        <w:rPr>
          <w:rFonts w:cs="Arial" w:ascii="Arial" w:hAnsi="Arial"/>
          <w:b/>
          <w:color w:val="000000"/>
          <w:sz w:val="24"/>
          <w:szCs w:val="24"/>
        </w:rPr>
        <w:t>14. RESULTADOS PRETENDIDOS COM A CONTRATAÇÃO</w:t>
      </w:r>
    </w:p>
    <w:p>
      <w:pPr>
        <w:pStyle w:val="Normal"/>
        <w:spacing w:lineRule="auto" w:line="360" w:before="0" w:after="0"/>
        <w:jc w:val="both"/>
        <w:rPr>
          <w:rFonts w:ascii="Arial" w:hAnsi="Arial"/>
        </w:rPr>
      </w:pPr>
      <w:r>
        <w:rPr>
          <w:rFonts w:cs="Arial" w:ascii="Arial" w:hAnsi="Arial"/>
          <w:b w:val="false"/>
          <w:bCs w:val="false"/>
          <w:color w:val="000000"/>
          <w:sz w:val="24"/>
          <w:szCs w:val="24"/>
        </w:rPr>
        <w:t>14.1 Co</w:t>
      </w:r>
      <w:r>
        <w:rPr>
          <w:rFonts w:cs="Arial" w:ascii="Arial" w:hAnsi="Arial"/>
          <w:color w:val="000000"/>
          <w:sz w:val="24"/>
          <w:szCs w:val="24"/>
        </w:rPr>
        <w:t>m a futura aquisição o resultado esperado é ter a disposição pneus para a frota de veículos destinados a limpeza pública do município, garantindo a população esse serviço crucial e essencial ao bem estar e saúde de todos os maradores desta cidade, bem como ter um ambiente limpo e acolhedor para os visitantes desta cidade. O quantitativo será suficiente para suprir a demanda atual desta Secretaria.</w:t>
      </w:r>
    </w:p>
    <w:p>
      <w:pPr>
        <w:pStyle w:val="Normal"/>
        <w:spacing w:lineRule="auto" w:line="240" w:before="0" w:after="0"/>
        <w:jc w:val="both"/>
        <w:rPr>
          <w:rFonts w:ascii="Arial" w:hAnsi="Arial" w:cs="Arial"/>
          <w:b/>
          <w:color w:val="000000"/>
          <w:sz w:val="24"/>
          <w:szCs w:val="24"/>
        </w:rPr>
      </w:pPr>
      <w:r>
        <w:rPr>
          <w:rFonts w:cs="Arial" w:ascii="Arial" w:hAnsi="Arial"/>
          <w:b/>
          <w:color w:val="000000"/>
          <w:sz w:val="24"/>
          <w:szCs w:val="24"/>
        </w:rPr>
      </w:r>
    </w:p>
    <w:p>
      <w:pPr>
        <w:pStyle w:val="Normal"/>
        <w:spacing w:lineRule="auto" w:line="360" w:before="0" w:after="0"/>
        <w:jc w:val="both"/>
        <w:rPr>
          <w:rFonts w:ascii="Arial" w:hAnsi="Arial"/>
        </w:rPr>
      </w:pPr>
      <w:r>
        <w:rPr>
          <w:rFonts w:cs="Arial" w:ascii="Arial" w:hAnsi="Arial"/>
          <w:b/>
          <w:color w:val="000000"/>
          <w:sz w:val="24"/>
          <w:szCs w:val="24"/>
        </w:rPr>
        <w:t>15. PROVIDÊNCIAS A SEREM ADOTADAS</w:t>
      </w:r>
    </w:p>
    <w:p>
      <w:pPr>
        <w:pStyle w:val="Normal"/>
        <w:spacing w:lineRule="auto" w:line="360" w:before="0" w:after="0"/>
        <w:jc w:val="both"/>
        <w:rPr>
          <w:rFonts w:ascii="Arial" w:hAnsi="Arial"/>
        </w:rPr>
      </w:pPr>
      <w:r>
        <w:rPr>
          <w:rFonts w:cs="Arial" w:ascii="Arial" w:hAnsi="Arial"/>
          <w:b w:val="false"/>
          <w:bCs w:val="false"/>
          <w:color w:val="000000"/>
          <w:sz w:val="24"/>
          <w:szCs w:val="24"/>
        </w:rPr>
        <w:t xml:space="preserve">15.1. </w:t>
      </w:r>
      <w:r>
        <w:rPr>
          <w:rFonts w:cs="Arial" w:ascii="Arial" w:hAnsi="Arial"/>
          <w:b w:val="false"/>
          <w:bCs w:val="false"/>
          <w:color w:val="000000"/>
          <w:sz w:val="24"/>
          <w:szCs w:val="24"/>
          <w:shd w:fill="auto" w:val="clear"/>
        </w:rPr>
        <w:t xml:space="preserve">A Administração Pública contará com o </w:t>
      </w:r>
      <w:r>
        <w:rPr>
          <w:rFonts w:eastAsia="Times New Roman" w:cs="Arial" w:ascii="Arial" w:hAnsi="Arial"/>
          <w:b w:val="false"/>
          <w:bCs w:val="false"/>
          <w:color w:val="000000"/>
          <w:kern w:val="0"/>
          <w:sz w:val="24"/>
          <w:szCs w:val="24"/>
          <w:shd w:fill="auto" w:val="clear"/>
          <w:lang w:val="pt-BR" w:eastAsia="zh-CN" w:bidi="ar-SA"/>
        </w:rPr>
        <w:t>Departamento de Almoxarifado Central responsável por acompanhar a entrega dos produtos,</w:t>
      </w:r>
      <w:r>
        <w:rPr>
          <w:rFonts w:cs="Arial" w:ascii="Arial" w:hAnsi="Arial"/>
          <w:b w:val="false"/>
          <w:bCs w:val="false"/>
          <w:color w:val="000000"/>
          <w:sz w:val="24"/>
          <w:szCs w:val="24"/>
          <w:shd w:fill="auto" w:val="clear"/>
        </w:rPr>
        <w:t xml:space="preserve"> recebimento e conferência das especificações contidas no  processo de aquisição.</w:t>
      </w:r>
    </w:p>
    <w:p>
      <w:pPr>
        <w:pStyle w:val="Normal"/>
        <w:spacing w:lineRule="auto" w:line="360" w:before="0" w:after="0"/>
        <w:jc w:val="both"/>
        <w:rPr>
          <w:rFonts w:ascii="Arial" w:hAnsi="Arial" w:cs="Arial"/>
          <w:b/>
          <w:color w:val="C9211E"/>
          <w:sz w:val="24"/>
          <w:szCs w:val="24"/>
        </w:rPr>
      </w:pPr>
      <w:r>
        <w:rPr>
          <w:rFonts w:cs="Arial" w:ascii="Arial" w:hAnsi="Arial"/>
          <w:b/>
          <w:color w:val="C9211E"/>
          <w:sz w:val="24"/>
          <w:szCs w:val="24"/>
        </w:rPr>
      </w:r>
    </w:p>
    <w:p>
      <w:pPr>
        <w:pStyle w:val="Normal"/>
        <w:suppressAutoHyphens w:val="false"/>
        <w:spacing w:lineRule="auto" w:line="360" w:before="0" w:after="0"/>
        <w:jc w:val="both"/>
        <w:rPr>
          <w:rFonts w:ascii="Arial" w:hAnsi="Arial"/>
        </w:rPr>
      </w:pPr>
      <w:r>
        <w:rPr>
          <w:rFonts w:cs="Arial" w:ascii="Arial" w:hAnsi="Arial"/>
          <w:b/>
          <w:color w:val="000000"/>
          <w:sz w:val="24"/>
          <w:szCs w:val="24"/>
        </w:rPr>
        <w:t>16. POSSÍVEIS IMPACTOS AMBIENTAIS</w:t>
      </w:r>
    </w:p>
    <w:p>
      <w:pPr>
        <w:pStyle w:val="Normal"/>
        <w:widowControl/>
        <w:suppressAutoHyphens w:val="true"/>
        <w:bidi w:val="0"/>
        <w:spacing w:lineRule="auto" w:line="360" w:before="0" w:after="0"/>
        <w:ind w:hanging="0" w:left="0" w:right="0"/>
        <w:jc w:val="both"/>
        <w:rPr>
          <w:rFonts w:ascii="Arial" w:hAnsi="Arial"/>
        </w:rPr>
      </w:pPr>
      <w:r>
        <w:rPr>
          <w:rFonts w:ascii="Arial" w:hAnsi="Arial"/>
          <w:color w:val="000000"/>
          <w:sz w:val="24"/>
          <w:szCs w:val="24"/>
        </w:rPr>
        <w:t xml:space="preserve">16.1. </w:t>
      </w:r>
      <w:r>
        <w:rPr>
          <w:rFonts w:ascii="Arial" w:hAnsi="Arial"/>
          <w:color w:val="000000"/>
          <w:sz w:val="24"/>
          <w:szCs w:val="24"/>
        </w:rPr>
        <w:t>Não se verifica impactos ambientais da contratação.</w:t>
      </w:r>
    </w:p>
    <w:p>
      <w:pPr>
        <w:pStyle w:val="Normal"/>
        <w:spacing w:lineRule="auto" w:line="240" w:before="0" w:after="0"/>
        <w:jc w:val="both"/>
        <w:rPr>
          <w:rFonts w:cs="Arial"/>
          <w:b/>
          <w:color w:val="000000"/>
          <w:sz w:val="24"/>
          <w:szCs w:val="24"/>
        </w:rPr>
      </w:pPr>
      <w:r>
        <w:rPr>
          <w:rFonts w:ascii="Arial" w:hAnsi="Arial"/>
        </w:rPr>
      </w:r>
    </w:p>
    <w:p>
      <w:pPr>
        <w:pStyle w:val="Normal"/>
        <w:spacing w:lineRule="auto" w:line="360" w:before="0" w:after="0"/>
        <w:jc w:val="both"/>
        <w:rPr>
          <w:rFonts w:ascii="Arial" w:hAnsi="Arial"/>
        </w:rPr>
      </w:pPr>
      <w:r>
        <w:rPr>
          <w:rFonts w:cs="Arial" w:ascii="Arial" w:hAnsi="Arial"/>
          <w:b/>
          <w:color w:val="000000"/>
          <w:sz w:val="24"/>
          <w:szCs w:val="24"/>
        </w:rPr>
        <w:t>17. DECLARAÇÕES DE VIABILIDADE</w:t>
      </w:r>
    </w:p>
    <w:p>
      <w:pPr>
        <w:pStyle w:val="Normal"/>
        <w:spacing w:lineRule="auto" w:line="360" w:before="0" w:after="0"/>
        <w:jc w:val="both"/>
        <w:rPr>
          <w:rFonts w:ascii="Arial" w:hAnsi="Arial"/>
        </w:rPr>
      </w:pPr>
      <w:r>
        <w:rPr>
          <w:rFonts w:cs="Arial" w:ascii="Arial" w:hAnsi="Arial"/>
          <w:b w:val="false"/>
          <w:bCs w:val="false"/>
          <w:color w:val="000000"/>
          <w:sz w:val="24"/>
          <w:szCs w:val="24"/>
        </w:rPr>
        <w:t>17.3. N</w:t>
      </w:r>
      <w:r>
        <w:rPr>
          <w:rFonts w:cs="Arial" w:ascii="Arial" w:hAnsi="Arial"/>
          <w:color w:val="000000"/>
          <w:sz w:val="24"/>
          <w:szCs w:val="24"/>
        </w:rPr>
        <w:t>este sentido, a equipe de planejamento deste ETP e de acordo com a autoridade deste requerente, declara viável esta contratação, com base nos elementos apresentados neste documento.</w:t>
      </w:r>
    </w:p>
    <w:p>
      <w:pPr>
        <w:pStyle w:val="Normal"/>
        <w:spacing w:lineRule="auto" w:line="240" w:before="0" w:after="0"/>
        <w:jc w:val="both"/>
        <w:rPr>
          <w:rFonts w:ascii="Arial" w:hAnsi="Arial" w:cs="Arial"/>
          <w:color w:val="000000"/>
          <w:sz w:val="24"/>
          <w:szCs w:val="24"/>
        </w:rPr>
      </w:pPr>
      <w:r>
        <w:rPr>
          <w:rFonts w:cs="Arial" w:ascii="Arial" w:hAnsi="Arial"/>
          <w:color w:val="000000"/>
          <w:sz w:val="24"/>
          <w:szCs w:val="24"/>
        </w:rPr>
      </w:r>
    </w:p>
    <w:p>
      <w:pPr>
        <w:pStyle w:val="Normal"/>
        <w:spacing w:lineRule="auto" w:line="360" w:before="0" w:after="0"/>
        <w:jc w:val="both"/>
        <w:rPr>
          <w:rFonts w:ascii="Arial" w:hAnsi="Arial"/>
        </w:rPr>
      </w:pPr>
      <w:r>
        <w:rPr>
          <w:rFonts w:cs="Arial" w:ascii="Arial" w:hAnsi="Arial"/>
          <w:b/>
          <w:color w:val="000000"/>
          <w:sz w:val="24"/>
          <w:szCs w:val="24"/>
        </w:rPr>
        <w:t>18. JUSTIFICATIVAS DA VIABILIDADE</w:t>
      </w:r>
    </w:p>
    <w:p>
      <w:pPr>
        <w:pStyle w:val="Normal"/>
        <w:spacing w:lineRule="auto" w:line="360" w:before="0" w:after="0"/>
        <w:jc w:val="both"/>
        <w:rPr>
          <w:rFonts w:ascii="Arial" w:hAnsi="Arial"/>
        </w:rPr>
      </w:pPr>
      <w:r>
        <w:rPr>
          <w:rFonts w:ascii="Arial" w:hAnsi="Arial"/>
          <w:color w:val="000000"/>
          <w:sz w:val="24"/>
          <w:szCs w:val="24"/>
        </w:rPr>
        <w:t xml:space="preserve">18.1. </w:t>
      </w:r>
      <w:r>
        <w:rPr>
          <w:rFonts w:ascii="Arial" w:hAnsi="Arial"/>
          <w:color w:val="000000"/>
          <w:sz w:val="24"/>
          <w:szCs w:val="24"/>
        </w:rPr>
        <w:t>Considerando a necessidade de aquisição de pneus para o Departamento de Limpeza Pública do município, decidiu-se pela aquisição dos produtos.</w:t>
      </w:r>
    </w:p>
    <w:p>
      <w:pPr>
        <w:pStyle w:val="Normal"/>
        <w:spacing w:lineRule="auto" w:line="360" w:before="0" w:after="0"/>
        <w:jc w:val="both"/>
        <w:rPr>
          <w:color w:val="000000"/>
          <w:sz w:val="24"/>
          <w:szCs w:val="24"/>
        </w:rPr>
      </w:pPr>
      <w:r>
        <w:rPr>
          <w:rFonts w:ascii="Arial" w:hAnsi="Arial"/>
        </w:rPr>
      </w:r>
    </w:p>
    <w:p>
      <w:pPr>
        <w:pStyle w:val="Nivel1"/>
        <w:widowControl/>
        <w:bidi w:val="0"/>
        <w:spacing w:lineRule="auto" w:line="360" w:before="0" w:after="0"/>
        <w:ind w:hanging="0" w:left="-113" w:right="0"/>
        <w:jc w:val="both"/>
        <w:rPr>
          <w:rFonts w:ascii="Arial" w:hAnsi="Arial"/>
          <w:sz w:val="24"/>
          <w:szCs w:val="24"/>
        </w:rPr>
      </w:pPr>
      <w:r>
        <w:rPr>
          <w:rFonts w:cs="Times New Roman"/>
          <w:sz w:val="24"/>
          <w:szCs w:val="24"/>
        </w:rPr>
        <w:t>1</w:t>
      </w:r>
      <w:r>
        <w:rPr>
          <w:rFonts w:cs="Times New Roman"/>
          <w:sz w:val="24"/>
          <w:szCs w:val="24"/>
        </w:rPr>
        <w:t>9</w:t>
      </w:r>
      <w:r>
        <w:rPr>
          <w:rFonts w:cs="Times New Roman"/>
          <w:sz w:val="24"/>
          <w:szCs w:val="24"/>
        </w:rPr>
        <w:t xml:space="preserve">. ADEQUAÇÃO ORÇAMENTÁRIA </w:t>
      </w:r>
    </w:p>
    <w:p>
      <w:pPr>
        <w:pStyle w:val="ListParagraph"/>
        <w:widowControl/>
        <w:bidi w:val="0"/>
        <w:spacing w:lineRule="auto" w:line="360"/>
        <w:ind w:hanging="0" w:left="-113" w:right="0"/>
        <w:jc w:val="both"/>
        <w:rPr>
          <w:rFonts w:ascii="Arial" w:hAnsi="Arial"/>
          <w:sz w:val="24"/>
          <w:szCs w:val="24"/>
        </w:rPr>
      </w:pPr>
      <w:r>
        <w:rPr>
          <w:rFonts w:ascii="Arial" w:hAnsi="Arial"/>
          <w:b w:val="false"/>
          <w:bCs w:val="false"/>
          <w:sz w:val="24"/>
          <w:szCs w:val="24"/>
        </w:rPr>
        <w:t>1</w:t>
      </w:r>
      <w:r>
        <w:rPr>
          <w:rFonts w:ascii="Arial" w:hAnsi="Arial"/>
          <w:b w:val="false"/>
          <w:bCs w:val="false"/>
          <w:sz w:val="24"/>
          <w:szCs w:val="24"/>
        </w:rPr>
        <w:t>9</w:t>
      </w:r>
      <w:r>
        <w:rPr>
          <w:rFonts w:ascii="Arial" w:hAnsi="Arial"/>
          <w:b w:val="false"/>
          <w:bCs w:val="false"/>
          <w:sz w:val="24"/>
          <w:szCs w:val="24"/>
        </w:rPr>
        <w:t xml:space="preserve">.1. </w:t>
      </w:r>
      <w:r>
        <w:rPr>
          <w:rFonts w:ascii="Arial" w:hAnsi="Arial"/>
          <w:sz w:val="24"/>
          <w:szCs w:val="24"/>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Arial" w:hAnsi="Arial"/>
          <w:sz w:val="24"/>
          <w:szCs w:val="24"/>
        </w:rPr>
      </w:pPr>
      <w:r>
        <w:rPr>
          <w:rFonts w:ascii="Arial" w:hAnsi="Arial"/>
          <w:sz w:val="24"/>
          <w:szCs w:val="24"/>
        </w:rPr>
      </w:r>
    </w:p>
    <w:p>
      <w:pPr>
        <w:pStyle w:val="Normal"/>
        <w:spacing w:lineRule="auto" w:line="360"/>
        <w:jc w:val="both"/>
        <w:rPr>
          <w:rFonts w:ascii="Arial" w:hAnsi="Arial"/>
          <w:sz w:val="24"/>
          <w:szCs w:val="24"/>
        </w:rPr>
      </w:pPr>
      <w:r>
        <w:rPr>
          <w:rFonts w:ascii="Arial" w:hAnsi="Arial"/>
          <w:sz w:val="24"/>
          <w:szCs w:val="24"/>
        </w:rPr>
        <w:t>FICHA – FONTE: 0</w:t>
      </w:r>
      <w:r>
        <w:rPr>
          <w:rFonts w:eastAsia="Times New Roman" w:cs="Times New Roman" w:ascii="Arial" w:hAnsi="Arial"/>
          <w:sz w:val="24"/>
          <w:szCs w:val="24"/>
        </w:rPr>
        <w:t>02</w:t>
      </w:r>
      <w:r>
        <w:rPr>
          <w:rFonts w:eastAsia="Times New Roman" w:cs="Times New Roman" w:ascii="Arial" w:hAnsi="Arial"/>
          <w:sz w:val="24"/>
          <w:szCs w:val="24"/>
        </w:rPr>
        <w:t>36</w:t>
      </w:r>
      <w:r>
        <w:rPr>
          <w:rFonts w:eastAsia="Times New Roman" w:cs="Times New Roman" w:ascii="Arial" w:hAnsi="Arial"/>
          <w:sz w:val="24"/>
          <w:szCs w:val="24"/>
        </w:rPr>
        <w:t xml:space="preserve"> – 1500</w:t>
      </w:r>
      <w:r>
        <w:rPr>
          <w:rFonts w:eastAsia="Times New Roman" w:cs="Times New Roman" w:ascii="Arial" w:hAnsi="Arial"/>
          <w:sz w:val="24"/>
          <w:szCs w:val="24"/>
        </w:rPr>
        <w:t>0</w:t>
      </w:r>
      <w:r>
        <w:rPr>
          <w:rFonts w:eastAsia="Times New Roman" w:cs="Times New Roman" w:ascii="Arial" w:hAnsi="Arial"/>
          <w:sz w:val="24"/>
          <w:szCs w:val="24"/>
        </w:rPr>
        <w:t xml:space="preserve">000000 </w:t>
      </w:r>
      <w:r>
        <w:rPr>
          <w:rFonts w:eastAsia="Times New Roman" w:cs="Arial" w:ascii="Arial" w:hAnsi="Arial"/>
          <w:b w:val="false"/>
          <w:bCs w:val="false"/>
          <w:sz w:val="24"/>
          <w:szCs w:val="24"/>
          <w:u w:val="none"/>
        </w:rPr>
        <w:t xml:space="preserve">No valor de R$ </w:t>
      </w:r>
      <w:r>
        <w:rPr>
          <w:rFonts w:eastAsia="Times New Roman" w:cs="Arial" w:ascii="Arial" w:hAnsi="Arial"/>
          <w:b w:val="false"/>
          <w:bCs w:val="false"/>
          <w:sz w:val="24"/>
          <w:szCs w:val="24"/>
          <w:u w:val="none"/>
        </w:rPr>
        <w:t>81.181,86 (oitenta e um mil cento e oitenta e um reais e oitenta e seis centavos)</w:t>
      </w:r>
      <w:r>
        <w:rPr>
          <w:rFonts w:eastAsia="Times New Roman" w:cs="Arial" w:ascii="Arial" w:hAnsi="Arial"/>
          <w:b w:val="false"/>
          <w:bCs w:val="false"/>
          <w:sz w:val="24"/>
          <w:szCs w:val="24"/>
          <w:u w:val="none"/>
        </w:rPr>
        <w:t>.</w:t>
      </w:r>
    </w:p>
    <w:p>
      <w:pPr>
        <w:pStyle w:val="Normal"/>
        <w:spacing w:lineRule="auto" w:line="240"/>
        <w:jc w:val="both"/>
        <w:rPr>
          <w:rFonts w:ascii="Arial" w:hAnsi="Arial"/>
          <w:sz w:val="24"/>
          <w:szCs w:val="24"/>
        </w:rPr>
      </w:pPr>
      <w:r>
        <w:rPr>
          <w:rFonts w:ascii="Arial" w:hAnsi="Arial"/>
          <w:sz w:val="24"/>
          <w:szCs w:val="24"/>
        </w:rPr>
      </w:r>
    </w:p>
    <w:p>
      <w:pPr>
        <w:pStyle w:val="Normal"/>
        <w:spacing w:lineRule="auto" w:line="360"/>
        <w:jc w:val="both"/>
        <w:rPr>
          <w:rFonts w:ascii="Arial" w:hAnsi="Arial"/>
          <w:sz w:val="24"/>
          <w:szCs w:val="24"/>
        </w:rPr>
      </w:pPr>
      <w:r>
        <w:rPr>
          <w:rFonts w:cs="Arial" w:ascii="Arial" w:hAnsi="Arial"/>
          <w:b/>
          <w:bCs/>
          <w:color w:val="000000"/>
          <w:sz w:val="24"/>
          <w:szCs w:val="24"/>
        </w:rPr>
        <w:t>20</w:t>
      </w:r>
      <w:r>
        <w:rPr>
          <w:rFonts w:cs="Arial" w:ascii="Arial" w:hAnsi="Arial"/>
          <w:b/>
          <w:bCs/>
          <w:color w:val="000000"/>
          <w:sz w:val="24"/>
          <w:szCs w:val="24"/>
        </w:rPr>
        <w:t>. DOS RESPONSÁVEIS PELA ELABORAÇÃO DO TERMO DE REFERÊNCIA</w:t>
      </w:r>
    </w:p>
    <w:p>
      <w:pPr>
        <w:pStyle w:val="Normal"/>
        <w:spacing w:lineRule="auto" w:line="360"/>
        <w:jc w:val="both"/>
        <w:rPr>
          <w:rFonts w:ascii="Arial" w:hAnsi="Arial"/>
          <w:sz w:val="24"/>
          <w:szCs w:val="24"/>
        </w:rPr>
      </w:pPr>
      <w:r>
        <w:rPr>
          <w:rFonts w:cs="Arial" w:ascii="Arial" w:hAnsi="Arial"/>
          <w:b w:val="false"/>
          <w:bCs w:val="false"/>
          <w:color w:val="000000"/>
          <w:sz w:val="24"/>
          <w:szCs w:val="24"/>
        </w:rPr>
        <w:t>20</w:t>
      </w:r>
      <w:r>
        <w:rPr>
          <w:rFonts w:cs="Arial" w:ascii="Arial" w:hAnsi="Arial"/>
          <w:b w:val="false"/>
          <w:bCs w:val="false"/>
          <w:color w:val="000000"/>
          <w:sz w:val="24"/>
          <w:szCs w:val="24"/>
        </w:rPr>
        <w:t>.1. A compilação d</w:t>
      </w:r>
      <w:r>
        <w:rPr>
          <w:rFonts w:eastAsia="Times New Roman" w:cs="Arial" w:ascii="Arial" w:hAnsi="Arial"/>
          <w:b w:val="false"/>
          <w:bCs w:val="false"/>
          <w:color w:val="000000"/>
          <w:sz w:val="24"/>
          <w:szCs w:val="24"/>
        </w:rPr>
        <w:t>e parte das</w:t>
      </w:r>
      <w:r>
        <w:rPr>
          <w:rFonts w:cs="Arial" w:ascii="Arial" w:hAnsi="Arial"/>
          <w:b w:val="false"/>
          <w:bCs w:val="false"/>
          <w:color w:val="000000"/>
          <w:sz w:val="24"/>
          <w:szCs w:val="24"/>
        </w:rPr>
        <w:t xml:space="preserve"> informações mencionados </w:t>
      </w:r>
      <w:r>
        <w:rPr>
          <w:rFonts w:eastAsia="Times New Roman" w:cs="Arial" w:ascii="Arial" w:hAnsi="Arial"/>
          <w:b w:val="false"/>
          <w:bCs w:val="false"/>
          <w:color w:val="000000"/>
          <w:sz w:val="24"/>
          <w:szCs w:val="24"/>
        </w:rPr>
        <w:t>na</w:t>
      </w:r>
      <w:r>
        <w:rPr>
          <w:rFonts w:cs="Arial" w:ascii="Arial" w:hAnsi="Arial"/>
          <w:b w:val="false"/>
          <w:bCs w:val="false"/>
          <w:color w:val="000000"/>
          <w:sz w:val="24"/>
          <w:szCs w:val="24"/>
        </w:rPr>
        <w:t xml:space="preserve"> elaboração deste Termo de Referência foram estruturadas através do ETP – Estudo Técnico Preliminar elaborado pela secretaria requisitante.</w:t>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right"/>
        <w:rPr>
          <w:rFonts w:ascii="Arial" w:hAnsi="Arial"/>
          <w:sz w:val="24"/>
          <w:szCs w:val="24"/>
        </w:rPr>
      </w:pPr>
      <w:r>
        <w:rPr>
          <w:rFonts w:ascii="Arial" w:hAnsi="Arial"/>
          <w:sz w:val="24"/>
          <w:szCs w:val="24"/>
        </w:rPr>
        <w:t xml:space="preserve">São Gabriel da Palha, </w:t>
      </w:r>
      <w:r>
        <w:rPr>
          <w:rFonts w:ascii="Arial" w:hAnsi="Arial"/>
          <w:sz w:val="24"/>
          <w:szCs w:val="24"/>
        </w:rPr>
        <w:t>26</w:t>
      </w:r>
      <w:r>
        <w:rPr>
          <w:rFonts w:ascii="Arial" w:hAnsi="Arial"/>
          <w:color w:val="000000"/>
          <w:sz w:val="24"/>
          <w:szCs w:val="24"/>
        </w:rPr>
        <w:t xml:space="preserve"> de </w:t>
      </w:r>
      <w:r>
        <w:rPr>
          <w:rFonts w:ascii="Arial" w:hAnsi="Arial"/>
          <w:color w:val="000000"/>
          <w:sz w:val="24"/>
          <w:szCs w:val="24"/>
        </w:rPr>
        <w:t xml:space="preserve">fevereiro </w:t>
      </w:r>
      <w:r>
        <w:rPr>
          <w:rFonts w:ascii="Arial" w:hAnsi="Arial"/>
          <w:color w:val="000000"/>
          <w:sz w:val="24"/>
          <w:szCs w:val="24"/>
        </w:rPr>
        <w:t xml:space="preserve"> de 202</w:t>
      </w:r>
      <w:r>
        <w:rPr>
          <w:rFonts w:ascii="Arial" w:hAnsi="Arial"/>
          <w:color w:val="000000"/>
          <w:sz w:val="24"/>
          <w:szCs w:val="24"/>
        </w:rPr>
        <w:t>5</w:t>
      </w:r>
    </w:p>
    <w:p>
      <w:pPr>
        <w:pStyle w:val="Normal"/>
        <w:spacing w:lineRule="auto" w:line="360"/>
        <w:jc w:val="right"/>
        <w:rPr>
          <w:rFonts w:ascii="Arial" w:hAnsi="Arial" w:cs="Arial"/>
          <w:b/>
          <w:sz w:val="24"/>
          <w:szCs w:val="24"/>
          <w:u w:val="single"/>
        </w:rPr>
      </w:pPr>
      <w:r>
        <w:rPr>
          <w:rFonts w:cs="Arial" w:ascii="Arial" w:hAnsi="Arial"/>
          <w:b/>
          <w:sz w:val="24"/>
          <w:szCs w:val="24"/>
          <w:u w:val="single"/>
        </w:rPr>
      </w:r>
    </w:p>
    <w:p>
      <w:pPr>
        <w:pStyle w:val="Normal"/>
        <w:spacing w:lineRule="auto" w:line="360"/>
        <w:jc w:val="right"/>
        <w:rPr>
          <w:rFonts w:ascii="Arial" w:hAnsi="Arial" w:cs="Arial"/>
          <w:b/>
          <w:sz w:val="24"/>
          <w:szCs w:val="24"/>
          <w:u w:val="single"/>
        </w:rPr>
      </w:pPr>
      <w:r>
        <w:rPr>
          <w:rFonts w:cs="Arial" w:ascii="Arial" w:hAnsi="Arial"/>
          <w:b/>
          <w:sz w:val="24"/>
          <w:szCs w:val="24"/>
          <w:u w:val="single"/>
        </w:rPr>
      </w:r>
    </w:p>
    <w:p>
      <w:pPr>
        <w:pStyle w:val="Normal"/>
        <w:spacing w:lineRule="auto" w:line="360"/>
        <w:jc w:val="right"/>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sz w:val="24"/>
          <w:szCs w:val="24"/>
        </w:rPr>
      </w:pPr>
      <w:r>
        <w:rPr>
          <w:rFonts w:cs="Arial" w:ascii="Arial" w:hAnsi="Arial"/>
          <w:b/>
          <w:bCs/>
          <w:sz w:val="24"/>
          <w:szCs w:val="24"/>
        </w:rPr>
        <w:t>Elaborado por:</w:t>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pStyle w:val="Normal"/>
        <w:spacing w:lineRule="auto" w:line="360"/>
        <w:jc w:val="both"/>
        <w:rPr>
          <w:rFonts w:ascii="Arial" w:hAnsi="Arial" w:cs="Arial"/>
          <w:b/>
          <w:sz w:val="24"/>
          <w:szCs w:val="24"/>
          <w:u w:val="single"/>
        </w:rPr>
      </w:pPr>
      <w:r>
        <w:rPr>
          <w:rFonts w:cs="Arial" w:ascii="Arial" w:hAnsi="Arial"/>
          <w:b/>
          <w:sz w:val="24"/>
          <w:szCs w:val="24"/>
          <w:u w:val="single"/>
        </w:rPr>
      </w:r>
    </w:p>
    <w:p>
      <w:pPr>
        <w:sectPr>
          <w:headerReference w:type="default" r:id="rId8"/>
          <w:footerReference w:type="default" r:id="rId9"/>
          <w:type w:val="nextPage"/>
          <w:pgSz w:w="11906" w:h="16838"/>
          <w:pgMar w:left="1350" w:right="905" w:gutter="0" w:header="227" w:top="851" w:footer="567" w:bottom="851"/>
          <w:pgNumType w:fmt="decimal"/>
          <w:formProt w:val="false"/>
          <w:textDirection w:val="lrTb"/>
          <w:docGrid w:type="default" w:linePitch="326" w:charSpace="0"/>
        </w:sectPr>
      </w:pPr>
    </w:p>
    <w:p>
      <w:pPr>
        <w:pStyle w:val="Normal"/>
        <w:rPr>
          <w:rFonts w:ascii="Arial" w:hAnsi="Arial"/>
          <w:sz w:val="24"/>
          <w:szCs w:val="24"/>
        </w:rPr>
      </w:pPr>
      <w:r>
        <w:rPr>
          <w:rFonts w:cs="Arial" w:ascii="Arial" w:hAnsi="Arial"/>
          <w:b/>
          <w:sz w:val="24"/>
          <w:szCs w:val="24"/>
          <w:u w:val="single"/>
        </w:rPr>
      </w:r>
    </w:p>
    <w:p>
      <w:pPr>
        <w:pStyle w:val="Normal"/>
        <w:spacing w:lineRule="auto" w:line="240"/>
        <w:jc w:val="both"/>
        <w:rPr>
          <w:rFonts w:ascii="Arial" w:hAnsi="Arial" w:cs="Arial"/>
          <w:b/>
          <w:sz w:val="24"/>
          <w:szCs w:val="24"/>
          <w:u w:val="single"/>
        </w:rPr>
      </w:pPr>
      <w:r>
        <w:rPr>
          <w:rFonts w:cs="Arial" w:ascii="Arial" w:hAnsi="Arial"/>
          <w:b/>
          <w:sz w:val="24"/>
          <w:szCs w:val="24"/>
          <w:u w:val="single"/>
        </w:rPr>
      </w:r>
    </w:p>
    <w:p>
      <w:pPr>
        <w:pStyle w:val="Normal"/>
        <w:spacing w:lineRule="auto" w:line="240"/>
        <w:jc w:val="both"/>
        <w:rPr/>
      </w:pPr>
      <w:hyperlink r:id="rId10">
        <w:r>
          <w:rPr>
            <w:rStyle w:val="ListLabel33"/>
            <w:rFonts w:cs="Arial" w:ascii="Arial" w:hAnsi="Arial"/>
            <w:color w:val="000000"/>
            <w:sz w:val="24"/>
            <w:szCs w:val="24"/>
            <w:u w:val="none"/>
          </w:rPr>
          <w:t>RUTH BARBARA DA SILWA NASCIMENTO</w:t>
        </w:r>
      </w:hyperlink>
    </w:p>
    <w:p>
      <w:pPr>
        <w:pStyle w:val="Normal"/>
        <w:spacing w:lineRule="auto" w:line="240"/>
        <w:jc w:val="both"/>
        <w:rPr/>
      </w:pPr>
      <w:hyperlink r:id="rId11">
        <w:r>
          <w:rPr>
            <w:rStyle w:val="ListLabel33"/>
            <w:rFonts w:cs="Arial" w:ascii="Arial" w:hAnsi="Arial"/>
            <w:color w:val="000000"/>
            <w:sz w:val="24"/>
            <w:szCs w:val="24"/>
            <w:u w:val="none"/>
          </w:rPr>
          <w:t>Assistente Administrativo</w:t>
        </w:r>
      </w:hyperlink>
    </w:p>
    <w:p>
      <w:pPr>
        <w:pStyle w:val="Normal"/>
        <w:suppressAutoHyphens w:val="false"/>
        <w:spacing w:lineRule="auto" w:line="240"/>
        <w:ind w:hanging="0" w:left="0" w:right="0"/>
        <w:jc w:val="both"/>
        <w:rPr/>
      </w:pPr>
      <w:hyperlink r:id="rId12">
        <w:r>
          <w:rPr>
            <w:rStyle w:val="ListLabel34"/>
            <w:rFonts w:cs="Arial" w:ascii="Arial" w:hAnsi="Arial"/>
            <w:b w:val="false"/>
            <w:bCs w:val="false"/>
            <w:color w:val="000000"/>
            <w:sz w:val="24"/>
            <w:szCs w:val="24"/>
            <w:u w:val="none"/>
          </w:rPr>
          <w:t xml:space="preserve"> </w:t>
        </w:r>
        <w:r>
          <w:rPr>
            <w:rStyle w:val="ListLabel34"/>
            <w:rFonts w:cs="Arial" w:ascii="Arial" w:hAnsi="Arial"/>
            <w:b w:val="false"/>
            <w:bCs w:val="false"/>
            <w:color w:val="000000"/>
            <w:sz w:val="24"/>
            <w:szCs w:val="24"/>
            <w:u w:val="none"/>
          </w:rPr>
          <w:t>Mat. nº 002983</w:t>
        </w:r>
      </w:hyperlink>
    </w:p>
    <w:p>
      <w:pPr>
        <w:sectPr>
          <w:type w:val="continuous"/>
          <w:pgSz w:w="11906" w:h="16838"/>
          <w:pgMar w:left="1350" w:right="905" w:gutter="0" w:header="227" w:top="851" w:footer="567" w:bottom="851"/>
          <w:formProt w:val="false"/>
          <w:textDirection w:val="lrTb"/>
          <w:docGrid w:type="default" w:linePitch="326" w:charSpace="0"/>
        </w:sectPr>
      </w:pPr>
    </w:p>
    <w:p>
      <w:pPr>
        <w:pStyle w:val="Normal"/>
        <w:spacing w:lineRule="auto" w:line="240"/>
        <w:rPr>
          <w:rFonts w:ascii="Arial" w:hAnsi="Arial" w:cs="Arial"/>
          <w:b/>
          <w:sz w:val="24"/>
          <w:szCs w:val="24"/>
          <w:u w:val="single"/>
        </w:rPr>
      </w:pPr>
      <w:r>
        <w:rPr>
          <w:rFonts w:cs="Arial" w:ascii="Arial" w:hAnsi="Arial"/>
          <w:b/>
          <w:sz w:val="24"/>
          <w:szCs w:val="24"/>
          <w:u w:val="single"/>
        </w:rPr>
      </w:r>
    </w:p>
    <w:p>
      <w:pPr>
        <w:sectPr>
          <w:type w:val="continuous"/>
          <w:pgSz w:w="11906" w:h="16838"/>
          <w:pgMar w:left="1350" w:right="905" w:gutter="0" w:header="227" w:top="851" w:footer="567" w:bottom="851"/>
          <w:formProt w:val="false"/>
          <w:textDirection w:val="lrTb"/>
          <w:docGrid w:type="default" w:linePitch="326" w:charSpace="0"/>
        </w:sectPr>
      </w:pPr>
    </w:p>
    <w:p>
      <w:pPr>
        <w:pStyle w:val="Normal"/>
        <w:numPr>
          <w:ilvl w:val="0"/>
          <w:numId w:val="0"/>
        </w:numPr>
        <w:suppressAutoHyphens w:val="false"/>
        <w:spacing w:lineRule="auto" w:line="240"/>
        <w:ind w:hanging="0" w:left="0" w:right="0"/>
        <w:jc w:val="center"/>
        <w:rPr>
          <w:rFonts w:ascii="Arial" w:hAnsi="Arial" w:cs="Arial"/>
          <w:b/>
          <w:sz w:val="24"/>
          <w:szCs w:val="24"/>
          <w:u w:val="single"/>
        </w:rPr>
      </w:pPr>
      <w:r>
        <w:rPr>
          <w:rFonts w:cs="Arial" w:ascii="Arial" w:hAnsi="Arial"/>
          <w:b/>
          <w:sz w:val="24"/>
          <w:szCs w:val="24"/>
          <w:u w:val="single"/>
        </w:rPr>
      </w:r>
      <w:bookmarkStart w:id="0" w:name="art12221"/>
      <w:bookmarkStart w:id="1" w:name="art12221"/>
      <w:bookmarkEnd w:id="1"/>
    </w:p>
    <w:p>
      <w:pPr>
        <w:pStyle w:val="Normal"/>
        <w:spacing w:lineRule="auto" w:line="360"/>
        <w:rPr>
          <w:rFonts w:ascii="Arial" w:hAnsi="Arial"/>
          <w:sz w:val="24"/>
          <w:szCs w:val="24"/>
        </w:rPr>
      </w:pPr>
      <w:r>
        <w:rPr>
          <w:rFonts w:ascii="Arial" w:hAnsi="Arial"/>
          <w:sz w:val="24"/>
          <w:szCs w:val="24"/>
        </w:rPr>
      </w:r>
      <w:bookmarkStart w:id="2" w:name="_GoBack3212"/>
      <w:bookmarkStart w:id="3" w:name="art122%252525252525252525252525252525C2%"/>
      <w:bookmarkStart w:id="4" w:name="_GoBack3212"/>
      <w:bookmarkStart w:id="5" w:name="art122%252525252525252525252525252525C2%"/>
      <w:bookmarkEnd w:id="4"/>
      <w:bookmarkEnd w:id="5"/>
    </w:p>
    <w:sectPr>
      <w:type w:val="continuous"/>
      <w:pgSz w:w="11906" w:h="16838"/>
      <w:pgMar w:left="1350"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Arial">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Fontepargpadro1">
    <w:name w:val="Fonte parág. padrão1"/>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yperlink" Target="https://www.planalto.gov.br/ccivil_03/leis/lcp/lcp123.htm" TargetMode="External"/><Relationship Id="rId11" Type="http://schemas.openxmlformats.org/officeDocument/2006/relationships/hyperlink" Target="https://www.planalto.gov.br/ccivil_03/leis/lcp/lcp123.htm" TargetMode="External"/><Relationship Id="rId12" Type="http://schemas.openxmlformats.org/officeDocument/2006/relationships/hyperlink" Target="https://www.planalto.gov.br/ccivil_03/leis/lcp/lcp123.htm" TargetMode="Externa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819</TotalTime>
  <Application>LibreOffice/7.6.7.2$Windows_X86_64 LibreOffice_project/dd47e4b30cb7dab30588d6c79c651f218165e3c5</Application>
  <AppVersion>15.0000</AppVersion>
  <Pages>18</Pages>
  <Words>5182</Words>
  <Characters>29706</Characters>
  <CharactersWithSpaces>34757</CharactersWithSpaces>
  <Paragraphs>285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2024-11-06T17:12:32Z</cp:lastPrinted>
  <dcterms:modified xsi:type="dcterms:W3CDTF">2025-02-26T13:55:53Z</dcterms:modified>
  <cp:revision>130</cp:revision>
  <dc:subject/>
  <dc:title/>
</cp:coreProperties>
</file>

<file path=docProps/custom.xml><?xml version="1.0" encoding="utf-8"?>
<Properties xmlns="http://schemas.openxmlformats.org/officeDocument/2006/custom-properties" xmlns:vt="http://schemas.openxmlformats.org/officeDocument/2006/docPropsVTypes"/>
</file>